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18E8" w:rsidRDefault="002518E8"/>
    <w:tbl>
      <w:tblPr>
        <w:tblW w:w="0" w:type="auto"/>
        <w:tblInd w:w="108" w:type="dxa"/>
        <w:tblLayout w:type="fixed"/>
        <w:tblLook w:val="0000"/>
      </w:tblPr>
      <w:tblGrid>
        <w:gridCol w:w="1843"/>
        <w:gridCol w:w="6237"/>
        <w:gridCol w:w="1993"/>
      </w:tblGrid>
      <w:tr w:rsidR="002518E8">
        <w:trPr>
          <w:trHeight w:val="2180"/>
        </w:trPr>
        <w:tc>
          <w:tcPr>
            <w:tcW w:w="1843" w:type="dxa"/>
            <w:tcBorders>
              <w:top w:val="single" w:sz="4" w:space="0" w:color="000000"/>
              <w:left w:val="single" w:sz="4" w:space="0" w:color="000000"/>
              <w:bottom w:val="single" w:sz="4" w:space="0" w:color="000000"/>
            </w:tcBorders>
            <w:shd w:val="clear" w:color="auto" w:fill="auto"/>
          </w:tcPr>
          <w:p w:rsidR="002518E8" w:rsidRDefault="002518E8">
            <w:pPr>
              <w:autoSpaceDE w:val="0"/>
              <w:snapToGrid w:val="0"/>
              <w:spacing w:line="160" w:lineRule="atLeast"/>
              <w:rPr>
                <w:sz w:val="16"/>
                <w:szCs w:val="16"/>
              </w:rPr>
            </w:pPr>
          </w:p>
          <w:p w:rsidR="002518E8" w:rsidRDefault="002518E8">
            <w:pPr>
              <w:autoSpaceDE w:val="0"/>
              <w:spacing w:line="160" w:lineRule="atLeast"/>
              <w:rPr>
                <w:sz w:val="16"/>
                <w:szCs w:val="16"/>
              </w:rPr>
            </w:pPr>
          </w:p>
          <w:p w:rsidR="002518E8" w:rsidRDefault="002518E8">
            <w:pPr>
              <w:autoSpaceDE w:val="0"/>
              <w:spacing w:line="240" w:lineRule="atLeast"/>
              <w:rPr>
                <w:sz w:val="12"/>
                <w:szCs w:val="12"/>
              </w:rPr>
            </w:pPr>
            <w:r>
              <w:object w:dxaOrig="4995" w:dyaOrig="4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75.75pt" o:ole="" filled="t">
                  <v:fill color2="black"/>
                  <v:imagedata r:id="rId8" o:title=""/>
                </v:shape>
                <o:OLEObject Type="Embed" ProgID="PBrush" ShapeID="_x0000_i1025" DrawAspect="Content" ObjectID="_1523432189" r:id="rId9"/>
              </w:object>
            </w:r>
          </w:p>
        </w:tc>
        <w:tc>
          <w:tcPr>
            <w:tcW w:w="6237" w:type="dxa"/>
            <w:tcBorders>
              <w:top w:val="single" w:sz="4" w:space="0" w:color="000000"/>
              <w:left w:val="single" w:sz="4" w:space="0" w:color="000000"/>
              <w:bottom w:val="single" w:sz="4" w:space="0" w:color="000000"/>
            </w:tcBorders>
            <w:shd w:val="clear" w:color="auto" w:fill="auto"/>
          </w:tcPr>
          <w:p w:rsidR="002518E8" w:rsidRDefault="002518E8">
            <w:pPr>
              <w:autoSpaceDE w:val="0"/>
              <w:snapToGrid w:val="0"/>
              <w:spacing w:line="100" w:lineRule="atLeast"/>
              <w:jc w:val="center"/>
              <w:rPr>
                <w:sz w:val="12"/>
                <w:szCs w:val="12"/>
              </w:rPr>
            </w:pPr>
          </w:p>
          <w:p w:rsidR="002518E8" w:rsidRDefault="00C21C52">
            <w:pPr>
              <w:autoSpaceDE w:val="0"/>
              <w:spacing w:line="100" w:lineRule="atLeast"/>
              <w:jc w:val="center"/>
              <w:rPr>
                <w:b/>
                <w:bCs/>
                <w:color w:val="000000"/>
                <w:sz w:val="20"/>
                <w:szCs w:val="20"/>
              </w:rPr>
            </w:pPr>
            <w:r>
              <w:rPr>
                <w:noProof/>
                <w:sz w:val="12"/>
                <w:szCs w:val="12"/>
                <w:lang w:eastAsia="it-IT" w:bidi="ar-SA"/>
              </w:rPr>
              <w:drawing>
                <wp:inline distT="0" distB="0" distL="0" distR="0">
                  <wp:extent cx="438150" cy="48577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38150" cy="485775"/>
                          </a:xfrm>
                          <a:prstGeom prst="rect">
                            <a:avLst/>
                          </a:prstGeom>
                          <a:solidFill>
                            <a:srgbClr val="FFFFFF"/>
                          </a:solidFill>
                          <a:ln w="9525">
                            <a:noFill/>
                            <a:miter lim="800000"/>
                            <a:headEnd/>
                            <a:tailEnd/>
                          </a:ln>
                        </pic:spPr>
                      </pic:pic>
                    </a:graphicData>
                  </a:graphic>
                </wp:inline>
              </w:drawing>
            </w:r>
          </w:p>
          <w:p w:rsidR="002518E8" w:rsidRDefault="002518E8">
            <w:pPr>
              <w:pStyle w:val="NormaleWeb"/>
              <w:spacing w:before="0" w:after="0" w:line="100" w:lineRule="atLeast"/>
              <w:jc w:val="center"/>
              <w:rPr>
                <w:b/>
                <w:bCs/>
                <w:i/>
                <w:sz w:val="16"/>
                <w:szCs w:val="16"/>
              </w:rPr>
            </w:pPr>
            <w:r>
              <w:rPr>
                <w:b/>
                <w:bCs/>
                <w:color w:val="000000"/>
                <w:sz w:val="20"/>
                <w:szCs w:val="20"/>
              </w:rPr>
              <w:t>ISTITUTO DI ISTRUZIONE SECONDARIA  “DANIELE CRESPI”</w:t>
            </w:r>
          </w:p>
          <w:p w:rsidR="002518E8" w:rsidRDefault="002518E8">
            <w:pPr>
              <w:pStyle w:val="NormaleWeb"/>
              <w:spacing w:before="0" w:after="0" w:line="100" w:lineRule="atLeast"/>
              <w:jc w:val="center"/>
              <w:rPr>
                <w:b/>
                <w:bCs/>
                <w:i/>
                <w:sz w:val="16"/>
                <w:szCs w:val="16"/>
              </w:rPr>
            </w:pPr>
            <w:r>
              <w:rPr>
                <w:b/>
                <w:bCs/>
                <w:i/>
                <w:sz w:val="16"/>
                <w:szCs w:val="16"/>
              </w:rPr>
              <w:t>Liceo Internazionale Classico e  Linguistico VAPC02701R</w:t>
            </w:r>
          </w:p>
          <w:p w:rsidR="002518E8" w:rsidRDefault="002518E8">
            <w:pPr>
              <w:pStyle w:val="NormaleWeb"/>
              <w:spacing w:before="0" w:after="0" w:line="100" w:lineRule="atLeast"/>
              <w:jc w:val="center"/>
              <w:rPr>
                <w:color w:val="000000"/>
                <w:sz w:val="16"/>
                <w:szCs w:val="16"/>
              </w:rPr>
            </w:pPr>
            <w:r>
              <w:rPr>
                <w:b/>
                <w:bCs/>
                <w:i/>
                <w:sz w:val="16"/>
                <w:szCs w:val="16"/>
              </w:rPr>
              <w:t>Liceo delle Scienze Umane VAPM027011</w:t>
            </w:r>
          </w:p>
          <w:p w:rsidR="002518E8" w:rsidRDefault="002518E8">
            <w:pPr>
              <w:autoSpaceDE w:val="0"/>
              <w:spacing w:line="100" w:lineRule="atLeast"/>
              <w:jc w:val="center"/>
              <w:rPr>
                <w:bCs/>
                <w:color w:val="0000FF"/>
                <w:sz w:val="16"/>
                <w:szCs w:val="16"/>
              </w:rPr>
            </w:pPr>
            <w:r>
              <w:rPr>
                <w:color w:val="000000"/>
                <w:sz w:val="16"/>
                <w:szCs w:val="16"/>
              </w:rPr>
              <w:t>Via G. Carducci 4 – 21052 BUSTO ARSIZIO (VA)</w:t>
            </w:r>
          </w:p>
          <w:p w:rsidR="002518E8" w:rsidRDefault="002518E8">
            <w:pPr>
              <w:autoSpaceDE w:val="0"/>
              <w:spacing w:line="100" w:lineRule="atLeast"/>
              <w:jc w:val="center"/>
            </w:pPr>
            <w:r>
              <w:rPr>
                <w:bCs/>
                <w:color w:val="0000FF"/>
                <w:sz w:val="16"/>
                <w:szCs w:val="16"/>
              </w:rPr>
              <w:t xml:space="preserve">  </w:t>
            </w:r>
            <w:r>
              <w:rPr>
                <w:bCs/>
                <w:i/>
                <w:iCs/>
                <w:color w:val="000000"/>
                <w:sz w:val="16"/>
                <w:szCs w:val="16"/>
                <w:lang w:val="fr-FR"/>
              </w:rPr>
              <w:t>Tel</w:t>
            </w:r>
            <w:r>
              <w:rPr>
                <w:b/>
                <w:bCs/>
                <w:i/>
                <w:iCs/>
                <w:color w:val="000000"/>
                <w:sz w:val="16"/>
                <w:szCs w:val="16"/>
                <w:lang w:val="fr-FR"/>
              </w:rPr>
              <w:t>. 0331 633256 - Fax 0331 674770</w:t>
            </w:r>
          </w:p>
          <w:p w:rsidR="002518E8" w:rsidRPr="00A134F2" w:rsidRDefault="002518E8">
            <w:pPr>
              <w:autoSpaceDE w:val="0"/>
              <w:spacing w:line="100" w:lineRule="atLeast"/>
              <w:jc w:val="center"/>
              <w:rPr>
                <w:color w:val="000000"/>
                <w:sz w:val="16"/>
                <w:szCs w:val="16"/>
              </w:rPr>
            </w:pPr>
            <w:hyperlink r:id="rId11" w:history="1">
              <w:r>
                <w:rPr>
                  <w:rStyle w:val="Collegamentoipertestuale"/>
                  <w:b/>
                  <w:bCs/>
                  <w:sz w:val="16"/>
                  <w:szCs w:val="16"/>
                </w:rPr>
                <w:t>www.liceocrespi.gov.it</w:t>
              </w:r>
            </w:hyperlink>
            <w:r>
              <w:rPr>
                <w:b/>
                <w:bCs/>
                <w:i/>
                <w:iCs/>
                <w:color w:val="000000"/>
                <w:sz w:val="16"/>
                <w:szCs w:val="16"/>
              </w:rPr>
              <w:t xml:space="preserve">    E-mail:  lccrespi@tin.it</w:t>
            </w:r>
            <w:r>
              <w:rPr>
                <w:color w:val="000000"/>
                <w:sz w:val="16"/>
                <w:szCs w:val="16"/>
              </w:rPr>
              <w:t xml:space="preserve"> </w:t>
            </w:r>
          </w:p>
          <w:p w:rsidR="002518E8" w:rsidRDefault="002518E8">
            <w:pPr>
              <w:autoSpaceDE w:val="0"/>
              <w:spacing w:line="100" w:lineRule="atLeast"/>
              <w:jc w:val="center"/>
              <w:rPr>
                <w:sz w:val="14"/>
                <w:szCs w:val="14"/>
                <w:lang w:val="fr-FR"/>
              </w:rPr>
            </w:pPr>
            <w:r>
              <w:rPr>
                <w:color w:val="000000"/>
                <w:sz w:val="16"/>
                <w:szCs w:val="16"/>
                <w:lang w:val="fr-FR"/>
              </w:rPr>
              <w:t xml:space="preserve">C.F. 81009350125 – </w:t>
            </w:r>
            <w:proofErr w:type="spellStart"/>
            <w:r>
              <w:rPr>
                <w:color w:val="000000"/>
                <w:sz w:val="16"/>
                <w:szCs w:val="16"/>
                <w:lang w:val="fr-FR"/>
              </w:rPr>
              <w:t>Cod.Min</w:t>
            </w:r>
            <w:proofErr w:type="spellEnd"/>
            <w:r>
              <w:rPr>
                <w:color w:val="000000"/>
                <w:sz w:val="16"/>
                <w:szCs w:val="16"/>
                <w:lang w:val="fr-FR"/>
              </w:rPr>
              <w:t xml:space="preserve">. </w:t>
            </w:r>
            <w:r>
              <w:rPr>
                <w:bCs/>
                <w:color w:val="000000"/>
                <w:sz w:val="16"/>
                <w:szCs w:val="16"/>
                <w:lang w:val="fr-FR"/>
              </w:rPr>
              <w:t>VAIS02700D</w:t>
            </w: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8E8" w:rsidRDefault="002518E8">
            <w:pPr>
              <w:autoSpaceDE w:val="0"/>
              <w:snapToGrid w:val="0"/>
              <w:spacing w:line="120" w:lineRule="atLeast"/>
              <w:ind w:right="-70"/>
              <w:rPr>
                <w:sz w:val="14"/>
                <w:szCs w:val="14"/>
                <w:lang w:val="fr-FR"/>
              </w:rPr>
            </w:pPr>
          </w:p>
          <w:p w:rsidR="002518E8" w:rsidRDefault="002518E8">
            <w:pPr>
              <w:autoSpaceDE w:val="0"/>
              <w:spacing w:line="120" w:lineRule="atLeast"/>
              <w:ind w:right="-70"/>
              <w:rPr>
                <w:sz w:val="14"/>
                <w:szCs w:val="14"/>
                <w:lang w:val="fr-FR"/>
              </w:rPr>
            </w:pPr>
          </w:p>
          <w:p w:rsidR="002518E8" w:rsidRDefault="00C21C52">
            <w:pPr>
              <w:autoSpaceDE w:val="0"/>
              <w:spacing w:line="120" w:lineRule="atLeast"/>
              <w:jc w:val="center"/>
              <w:rPr>
                <w:color w:val="000000"/>
                <w:sz w:val="14"/>
                <w:szCs w:val="14"/>
                <w:lang w:val="en-US"/>
              </w:rPr>
            </w:pPr>
            <w:r>
              <w:rPr>
                <w:noProof/>
                <w:color w:val="000000"/>
                <w:sz w:val="14"/>
                <w:szCs w:val="14"/>
                <w:lang w:eastAsia="it-IT" w:bidi="ar-SA"/>
              </w:rPr>
              <w:drawing>
                <wp:inline distT="0" distB="0" distL="0" distR="0">
                  <wp:extent cx="933450" cy="51435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933450" cy="514350"/>
                          </a:xfrm>
                          <a:prstGeom prst="rect">
                            <a:avLst/>
                          </a:prstGeom>
                          <a:solidFill>
                            <a:srgbClr val="FFFFFF"/>
                          </a:solidFill>
                          <a:ln w="9525">
                            <a:noFill/>
                            <a:miter lim="800000"/>
                            <a:headEnd/>
                            <a:tailEnd/>
                          </a:ln>
                        </pic:spPr>
                      </pic:pic>
                    </a:graphicData>
                  </a:graphic>
                </wp:inline>
              </w:drawing>
            </w:r>
          </w:p>
          <w:p w:rsidR="002518E8" w:rsidRDefault="002518E8">
            <w:pPr>
              <w:autoSpaceDE w:val="0"/>
              <w:spacing w:line="120" w:lineRule="atLeast"/>
              <w:rPr>
                <w:color w:val="000000"/>
                <w:sz w:val="14"/>
                <w:szCs w:val="14"/>
                <w:lang w:val="en-US"/>
              </w:rPr>
            </w:pPr>
          </w:p>
          <w:p w:rsidR="002518E8" w:rsidRDefault="002518E8">
            <w:pPr>
              <w:autoSpaceDE w:val="0"/>
              <w:spacing w:line="120" w:lineRule="atLeast"/>
              <w:jc w:val="center"/>
            </w:pPr>
            <w:r>
              <w:rPr>
                <w:b/>
                <w:sz w:val="22"/>
                <w:szCs w:val="22"/>
                <w:lang w:val="en-US"/>
              </w:rPr>
              <w:t>CertINT® 2012</w:t>
            </w:r>
          </w:p>
        </w:tc>
      </w:tr>
    </w:tbl>
    <w:p w:rsidR="002518E8" w:rsidRDefault="002518E8">
      <w:pPr>
        <w:jc w:val="right"/>
      </w:pPr>
      <w:r>
        <w:tab/>
      </w:r>
    </w:p>
    <w:p w:rsidR="002518E8" w:rsidRDefault="006D7676">
      <w:pPr>
        <w:jc w:val="right"/>
      </w:pPr>
      <w:r>
        <w:t>Busto Arsizio, 29</w:t>
      </w:r>
      <w:r w:rsidR="002518E8">
        <w:t xml:space="preserve"> /04/2016</w:t>
      </w:r>
    </w:p>
    <w:p w:rsidR="002518E8" w:rsidRDefault="002518E8">
      <w:pPr>
        <w:jc w:val="right"/>
        <w:rPr>
          <w:b/>
        </w:rPr>
      </w:pPr>
      <w:r>
        <w:t xml:space="preserve">                                                               </w:t>
      </w:r>
    </w:p>
    <w:p w:rsidR="002518E8" w:rsidRDefault="002518E8">
      <w:pPr>
        <w:rPr>
          <w:b/>
        </w:rPr>
      </w:pPr>
    </w:p>
    <w:p w:rsidR="002518E8" w:rsidRDefault="002518E8">
      <w:r>
        <w:rPr>
          <w:b/>
        </w:rPr>
        <w:t>Oggetto</w:t>
      </w:r>
      <w:r>
        <w:t xml:space="preserve">:  </w:t>
      </w:r>
      <w:r>
        <w:rPr>
          <w:b/>
          <w:bCs/>
        </w:rPr>
        <w:t>Verbale riunione Comitato di Valutazione in data 21 aprile 2016</w:t>
      </w:r>
    </w:p>
    <w:p w:rsidR="002518E8" w:rsidRDefault="002518E8"/>
    <w:p w:rsidR="002518E8" w:rsidRDefault="002518E8">
      <w:pPr>
        <w:jc w:val="both"/>
      </w:pPr>
      <w:r>
        <w:t>In data 21 aprile 2016  alle ore 14.30 si riunisce presso la dirigenza dell’Istituto il CdV istituito ai sensi della Legge 107/15 con decreto del DS,  trasmesso con circolare n° 73 del 30 settembre 2015, e convocato con circolare n° 522 del 15/04/2016</w:t>
      </w:r>
    </w:p>
    <w:p w:rsidR="002518E8" w:rsidRDefault="002518E8">
      <w:pPr>
        <w:jc w:val="both"/>
      </w:pPr>
    </w:p>
    <w:p w:rsidR="002518E8" w:rsidRDefault="002518E8">
      <w:pPr>
        <w:jc w:val="both"/>
      </w:pPr>
      <w:r>
        <w:t>Sono presenti tutti i membri designati/eletti dalle specifiche componenti.</w:t>
      </w:r>
    </w:p>
    <w:p w:rsidR="002518E8" w:rsidRDefault="002518E8">
      <w:pPr>
        <w:jc w:val="both"/>
      </w:pPr>
    </w:p>
    <w:p w:rsidR="002518E8" w:rsidRDefault="002518E8">
      <w:pPr>
        <w:jc w:val="both"/>
        <w:rPr>
          <w:i/>
          <w:iCs/>
        </w:rPr>
      </w:pPr>
      <w:r>
        <w:t>Si prendono in esame le osservazioni relative al verbale della seduta 7 aprile 2016 avanzate dai membri docenti del Comitato. Si conviene che il testo del verbale venga così modificato:</w:t>
      </w:r>
    </w:p>
    <w:p w:rsidR="002518E8" w:rsidRDefault="002518E8">
      <w:pPr>
        <w:jc w:val="both"/>
        <w:rPr>
          <w:i/>
          <w:iCs/>
          <w:sz w:val="22"/>
          <w:szCs w:val="22"/>
        </w:rPr>
      </w:pPr>
      <w:r>
        <w:rPr>
          <w:i/>
          <w:iCs/>
        </w:rPr>
        <w:t xml:space="preserve">“Il DS  ricorda  quanto definito nella riunione di insediamento del 17/03/2016, nel corso della quale,  alla presenza di tutti i membri del CdV  è stata presa in esame la documentazione fornita dal dirigente contenente le seguenti considerazioni di fondo: </w:t>
      </w:r>
    </w:p>
    <w:p w:rsidR="002518E8" w:rsidRDefault="002518E8">
      <w:pPr>
        <w:numPr>
          <w:ilvl w:val="0"/>
          <w:numId w:val="2"/>
        </w:numPr>
        <w:jc w:val="both"/>
        <w:rPr>
          <w:i/>
          <w:iCs/>
          <w:sz w:val="22"/>
          <w:szCs w:val="22"/>
        </w:rPr>
      </w:pPr>
      <w:r>
        <w:rPr>
          <w:i/>
          <w:iCs/>
          <w:sz w:val="22"/>
          <w:szCs w:val="22"/>
        </w:rPr>
        <w:t xml:space="preserve">La ratio legis non va nella direzione della ricaduta a pioggia </w:t>
      </w:r>
    </w:p>
    <w:p w:rsidR="002518E8" w:rsidRDefault="002518E8">
      <w:pPr>
        <w:numPr>
          <w:ilvl w:val="0"/>
          <w:numId w:val="2"/>
        </w:numPr>
        <w:jc w:val="both"/>
        <w:rPr>
          <w:i/>
          <w:iCs/>
          <w:sz w:val="22"/>
          <w:szCs w:val="22"/>
        </w:rPr>
      </w:pPr>
      <w:r>
        <w:rPr>
          <w:i/>
          <w:iCs/>
          <w:sz w:val="22"/>
          <w:szCs w:val="22"/>
        </w:rPr>
        <w:t>I criteri di valutazione per l’attribuzione del  bonus non ricadono nell’ambito della contrattazione:  (legge 107/15 - 196) – OPPORTUNA informativa preventiva e successiva in forma aggregata e non nominale.</w:t>
      </w:r>
    </w:p>
    <w:p w:rsidR="002518E8" w:rsidRDefault="002518E8">
      <w:pPr>
        <w:jc w:val="both"/>
        <w:rPr>
          <w:i/>
          <w:iCs/>
        </w:rPr>
      </w:pPr>
      <w:r>
        <w:rPr>
          <w:i/>
          <w:iCs/>
          <w:sz w:val="22"/>
          <w:szCs w:val="22"/>
        </w:rPr>
        <w:t>e  si è convenuto quanto segue:</w:t>
      </w:r>
    </w:p>
    <w:p w:rsidR="002518E8" w:rsidRDefault="002518E8">
      <w:pPr>
        <w:widowControl/>
        <w:numPr>
          <w:ilvl w:val="0"/>
          <w:numId w:val="1"/>
        </w:numPr>
        <w:suppressAutoHyphens w:val="0"/>
        <w:ind w:left="567" w:hanging="283"/>
        <w:jc w:val="both"/>
        <w:rPr>
          <w:i/>
          <w:iCs/>
        </w:rPr>
      </w:pPr>
      <w:r>
        <w:rPr>
          <w:i/>
          <w:iCs/>
        </w:rPr>
        <w:t>Descrittori: non troppi, connessi agli obiettivi strategici nazionali presenti nella Legge 107/15, osservabili o comunque riscontrabili – documentabili, oltre che legati al PTOF e al PM.</w:t>
      </w:r>
    </w:p>
    <w:p w:rsidR="002518E8" w:rsidRDefault="002518E8">
      <w:pPr>
        <w:widowControl/>
        <w:numPr>
          <w:ilvl w:val="0"/>
          <w:numId w:val="1"/>
        </w:numPr>
        <w:suppressAutoHyphens w:val="0"/>
        <w:ind w:left="567" w:hanging="283"/>
        <w:jc w:val="both"/>
        <w:rPr>
          <w:i/>
          <w:iCs/>
        </w:rPr>
      </w:pPr>
      <w:r>
        <w:rPr>
          <w:i/>
          <w:iCs/>
        </w:rPr>
        <w:t>Sconsigliabile un range di punteggio di attribuzione, difficilmente motivabile  - meglio SI/NO/NON APPLICABILE/SPECIFICARE…quanto a sostegno della pertinenza positiva dell’indicatore al singolo docente.</w:t>
      </w:r>
    </w:p>
    <w:p w:rsidR="002518E8" w:rsidRDefault="002518E8">
      <w:pPr>
        <w:widowControl/>
        <w:numPr>
          <w:ilvl w:val="0"/>
          <w:numId w:val="1"/>
        </w:numPr>
        <w:suppressAutoHyphens w:val="0"/>
        <w:ind w:left="567" w:hanging="283"/>
        <w:jc w:val="both"/>
        <w:rPr>
          <w:i/>
          <w:iCs/>
        </w:rPr>
      </w:pPr>
      <w:r>
        <w:rPr>
          <w:i/>
          <w:iCs/>
        </w:rPr>
        <w:t>Si sottolinea il rischio connesso alla logica delle segnalazio</w:t>
      </w:r>
      <w:r w:rsidR="00C55679">
        <w:rPr>
          <w:i/>
          <w:iCs/>
        </w:rPr>
        <w:t>ni  da parte di studenti/genitori</w:t>
      </w:r>
      <w:r>
        <w:rPr>
          <w:i/>
          <w:iCs/>
        </w:rPr>
        <w:t xml:space="preserve"> per evitare clima di delazione e ritorsione: occorre avere cura del clima di lavoro, inquinabile o che rischia distorsioni in tal caso. Pure, occorre trovare il modo di valorizzare la presenza di genitori e studenti nel comitato e come interlocutori dello stesso.”</w:t>
      </w:r>
    </w:p>
    <w:p w:rsidR="002518E8" w:rsidRDefault="002518E8">
      <w:pPr>
        <w:widowControl/>
        <w:suppressAutoHyphens w:val="0"/>
        <w:jc w:val="both"/>
        <w:rPr>
          <w:i/>
          <w:iCs/>
        </w:rPr>
      </w:pPr>
    </w:p>
    <w:p w:rsidR="002518E8" w:rsidRDefault="002518E8">
      <w:pPr>
        <w:widowControl/>
        <w:suppressAutoHyphens w:val="0"/>
        <w:jc w:val="both"/>
      </w:pPr>
      <w:r>
        <w:t>Il verbale così modificato viene approvato all’unanimità.</w:t>
      </w:r>
    </w:p>
    <w:p w:rsidR="002518E8" w:rsidRDefault="002518E8">
      <w:pPr>
        <w:widowControl/>
        <w:suppressAutoHyphens w:val="0"/>
        <w:jc w:val="both"/>
      </w:pPr>
    </w:p>
    <w:p w:rsidR="002518E8" w:rsidRDefault="002518E8">
      <w:pPr>
        <w:widowControl/>
        <w:suppressAutoHyphens w:val="0"/>
        <w:jc w:val="both"/>
        <w:rPr>
          <w:rFonts w:eastAsia="Times New Roman" w:cs="Times New Roman"/>
          <w:color w:val="000000"/>
          <w:lang w:eastAsia="ar-SA" w:bidi="ar-SA"/>
        </w:rPr>
      </w:pPr>
      <w:r>
        <w:t>Si concorda inoltre, dopo approfondita  riflessione e ampia discussione, che l’articolo 6 “</w:t>
      </w:r>
      <w:r>
        <w:rPr>
          <w:i/>
          <w:iCs/>
        </w:rPr>
        <w:t>Definizione dei criteri di valorizzazione della funzione docente</w:t>
      </w:r>
      <w:r>
        <w:t xml:space="preserve">”  e l’articolo 7 </w:t>
      </w:r>
      <w:r>
        <w:rPr>
          <w:i/>
          <w:iCs/>
        </w:rPr>
        <w:t>“Raccolta dati”</w:t>
      </w:r>
      <w:r>
        <w:t xml:space="preserve"> del </w:t>
      </w:r>
      <w:r>
        <w:rPr>
          <w:i/>
          <w:iCs/>
        </w:rPr>
        <w:t>Regolamento per il funzionamento del Comitato di Valutazione</w:t>
      </w:r>
      <w:r>
        <w:t xml:space="preserve"> vengano stralciati dal testo del regolamento stesso, in quanto</w:t>
      </w:r>
      <w:r>
        <w:rPr>
          <w:rFonts w:eastAsia="Times New Roman" w:cs="Times New Roman"/>
          <w:color w:val="000000"/>
          <w:lang w:eastAsia="ar-SA" w:bidi="ar-SA"/>
        </w:rPr>
        <w:t xml:space="preserve"> paiono più attinenti al merito della definizione dei criteri di valutazione che alle norme di funzionamento del Comitato; il contenuto dei suddetti articoli è da intendersi come modalità operativa assunta dal CdV.</w:t>
      </w:r>
    </w:p>
    <w:p w:rsidR="002518E8" w:rsidRDefault="002518E8">
      <w:pPr>
        <w:widowControl/>
        <w:suppressAutoHyphens w:val="0"/>
        <w:jc w:val="both"/>
        <w:rPr>
          <w:rFonts w:eastAsia="Times New Roman" w:cs="Times New Roman"/>
          <w:color w:val="000000"/>
          <w:lang w:eastAsia="ar-SA" w:bidi="ar-SA"/>
        </w:rPr>
      </w:pPr>
    </w:p>
    <w:p w:rsidR="002518E8" w:rsidRDefault="002518E8">
      <w:pPr>
        <w:widowControl/>
        <w:suppressAutoHyphens w:val="0"/>
        <w:jc w:val="both"/>
        <w:rPr>
          <w:rFonts w:eastAsia="Times New Roman" w:cs="Times New Roman"/>
          <w:color w:val="000000"/>
          <w:lang w:eastAsia="ar-SA" w:bidi="ar-SA"/>
        </w:rPr>
      </w:pPr>
      <w:r>
        <w:rPr>
          <w:rFonts w:eastAsia="Times New Roman" w:cs="Times New Roman"/>
          <w:color w:val="000000"/>
          <w:lang w:eastAsia="ar-SA" w:bidi="ar-SA"/>
        </w:rPr>
        <w:lastRenderedPageBreak/>
        <w:t>Si passa quindi alla disamina dei criteri di valorizzazione della funzione docente, a partire dall’analisi del testo abbozzato nella riunione del  7 aprile 2016.</w:t>
      </w:r>
    </w:p>
    <w:p w:rsidR="002518E8" w:rsidRDefault="00A134F2">
      <w:pPr>
        <w:widowControl/>
        <w:suppressAutoHyphens w:val="0"/>
        <w:jc w:val="both"/>
        <w:rPr>
          <w:rFonts w:eastAsia="Times New Roman" w:cs="Times New Roman"/>
          <w:color w:val="000000"/>
          <w:lang w:eastAsia="ar-SA" w:bidi="ar-SA"/>
        </w:rPr>
      </w:pPr>
      <w:r>
        <w:rPr>
          <w:rFonts w:eastAsia="Times New Roman" w:cs="Times New Roman"/>
          <w:color w:val="000000"/>
          <w:lang w:eastAsia="ar-SA" w:bidi="ar-SA"/>
        </w:rPr>
        <w:t>La prof.</w:t>
      </w:r>
      <w:r w:rsidR="002518E8">
        <w:rPr>
          <w:rFonts w:eastAsia="Times New Roman" w:cs="Times New Roman"/>
          <w:color w:val="000000"/>
          <w:lang w:eastAsia="ar-SA" w:bidi="ar-SA"/>
        </w:rPr>
        <w:t xml:space="preserve">ssa Zanello propone, prima di avviare  l’esame dettagliato dei singoli criteri e la definizione dei relativi pesi, di assumere il seguente generale </w:t>
      </w:r>
      <w:r w:rsidR="002518E8">
        <w:rPr>
          <w:rFonts w:eastAsia="Times New Roman" w:cs="Times New Roman"/>
          <w:i/>
          <w:iCs/>
          <w:color w:val="000000"/>
          <w:lang w:eastAsia="ar-SA" w:bidi="ar-SA"/>
        </w:rPr>
        <w:t>modus operandi</w:t>
      </w:r>
      <w:r w:rsidR="002518E8">
        <w:rPr>
          <w:rFonts w:eastAsia="Times New Roman" w:cs="Times New Roman"/>
          <w:color w:val="000000"/>
          <w:lang w:eastAsia="ar-SA" w:bidi="ar-SA"/>
        </w:rPr>
        <w:t>, anche al fine di disambiguare la questione relativa alla premialità o meno delle attività a FIS: richiedere ai docenti, nell’atto della compilazione del questionario</w:t>
      </w:r>
    </w:p>
    <w:p w:rsidR="002518E8" w:rsidRDefault="002518E8">
      <w:pPr>
        <w:widowControl/>
        <w:suppressAutoHyphens w:val="0"/>
        <w:jc w:val="both"/>
      </w:pPr>
      <w:r>
        <w:rPr>
          <w:rFonts w:eastAsia="Times New Roman" w:cs="Times New Roman"/>
          <w:color w:val="000000"/>
          <w:lang w:eastAsia="ar-SA" w:bidi="ar-SA"/>
        </w:rPr>
        <w:t xml:space="preserve">- da un lato, </w:t>
      </w:r>
      <w:r>
        <w:t xml:space="preserve">di elencare tutte le attività svolte, così da consentire loro di operare nel senso di un'autoriflessione e presentare un'immagine fedele e completa del proprio lavoro, </w:t>
      </w:r>
    </w:p>
    <w:p w:rsidR="002518E8" w:rsidRDefault="002518E8">
      <w:pPr>
        <w:widowControl/>
        <w:suppressAutoHyphens w:val="0"/>
        <w:jc w:val="both"/>
      </w:pPr>
      <w:r>
        <w:t>- dall’altro, di indicare le attività per le quali è già prevista una forma di finanziamento, in modo tale da focalizzare la premialità sulle attività non retribuite.</w:t>
      </w:r>
    </w:p>
    <w:p w:rsidR="002518E8" w:rsidRDefault="002518E8">
      <w:pPr>
        <w:widowControl/>
        <w:suppressAutoHyphens w:val="0"/>
        <w:jc w:val="both"/>
      </w:pPr>
      <w:r>
        <w:t xml:space="preserve">Il DS invita la prof.ssa Zanello a rinviare rilievi e osservazioni successivamente all’analisi dei singoli criteri e alla definizione dei relativi pesi, in modo tale da potersi confrontare avendo a disposizione un quadro complessivo, alla luce del quale, eventualmente, valutare se il </w:t>
      </w:r>
      <w:r>
        <w:rPr>
          <w:i/>
          <w:iCs/>
        </w:rPr>
        <w:t>modus operandi</w:t>
      </w:r>
      <w:r>
        <w:t xml:space="preserve"> indicato sia stato seguito o meno.</w:t>
      </w:r>
    </w:p>
    <w:p w:rsidR="002518E8" w:rsidRDefault="002518E8">
      <w:pPr>
        <w:widowControl/>
        <w:suppressAutoHyphens w:val="0"/>
        <w:jc w:val="both"/>
      </w:pPr>
    </w:p>
    <w:p w:rsidR="002518E8" w:rsidRDefault="002518E8">
      <w:pPr>
        <w:widowControl/>
        <w:suppressAutoHyphens w:val="0"/>
        <w:jc w:val="both"/>
        <w:rPr>
          <w:rFonts w:eastAsia="Times New Roman" w:cs="Times New Roman"/>
          <w:b/>
          <w:bCs/>
          <w:color w:val="000000"/>
          <w:lang w:eastAsia="ar-SA" w:bidi="ar-SA"/>
        </w:rPr>
      </w:pPr>
      <w:r>
        <w:t>Si passa quindi all’esame del questionario, articolato nei tre ambiti previsti dalla normativa vigente.</w:t>
      </w:r>
      <w:r>
        <w:rPr>
          <w:sz w:val="20"/>
          <w:szCs w:val="20"/>
        </w:rPr>
        <w:t>(LEGGE 107/15): QUALITA’ – RESPONSABILITA’ ASSUNTE – CONTRIBUTO ORGANIZZATIVO</w:t>
      </w:r>
      <w:r>
        <w:t xml:space="preserve">), a cui vengono rispettivamente attribuiti i seguenti pesi: </w:t>
      </w:r>
    </w:p>
    <w:p w:rsidR="002518E8" w:rsidRDefault="002518E8">
      <w:pPr>
        <w:widowControl/>
        <w:suppressAutoHyphens w:val="0"/>
        <w:jc w:val="both"/>
        <w:rPr>
          <w:rFonts w:eastAsia="Times New Roman" w:cs="Times New Roman"/>
          <w:b/>
          <w:bCs/>
          <w:color w:val="000000"/>
          <w:lang w:eastAsia="ar-SA" w:bidi="ar-SA"/>
        </w:rPr>
      </w:pPr>
      <w:r>
        <w:rPr>
          <w:rFonts w:eastAsia="Times New Roman" w:cs="Times New Roman"/>
          <w:b/>
          <w:bCs/>
          <w:color w:val="000000"/>
          <w:lang w:eastAsia="ar-SA" w:bidi="ar-SA"/>
        </w:rPr>
        <w:t>AREA 1: 40</w:t>
      </w:r>
    </w:p>
    <w:p w:rsidR="002518E8" w:rsidRDefault="002518E8">
      <w:pPr>
        <w:widowControl/>
        <w:suppressAutoHyphens w:val="0"/>
        <w:jc w:val="both"/>
        <w:rPr>
          <w:rFonts w:eastAsia="Times New Roman" w:cs="Times New Roman"/>
          <w:b/>
          <w:bCs/>
          <w:color w:val="000000"/>
          <w:lang w:eastAsia="ar-SA" w:bidi="ar-SA"/>
        </w:rPr>
      </w:pPr>
      <w:r>
        <w:rPr>
          <w:rFonts w:eastAsia="Times New Roman" w:cs="Times New Roman"/>
          <w:b/>
          <w:bCs/>
          <w:color w:val="000000"/>
          <w:lang w:eastAsia="ar-SA" w:bidi="ar-SA"/>
        </w:rPr>
        <w:t>AREA 2:21</w:t>
      </w:r>
    </w:p>
    <w:p w:rsidR="002518E8" w:rsidRDefault="002518E8">
      <w:pPr>
        <w:widowControl/>
        <w:suppressAutoHyphens w:val="0"/>
        <w:jc w:val="both"/>
        <w:rPr>
          <w:rFonts w:eastAsia="Times New Roman" w:cs="Times New Roman"/>
          <w:color w:val="000000"/>
          <w:lang w:eastAsia="ar-SA" w:bidi="ar-SA"/>
        </w:rPr>
      </w:pPr>
      <w:r>
        <w:rPr>
          <w:rFonts w:eastAsia="Times New Roman" w:cs="Times New Roman"/>
          <w:b/>
          <w:bCs/>
          <w:color w:val="000000"/>
          <w:lang w:eastAsia="ar-SA" w:bidi="ar-SA"/>
        </w:rPr>
        <w:t>AREA 3: 39</w:t>
      </w:r>
    </w:p>
    <w:p w:rsidR="002518E8" w:rsidRDefault="002518E8">
      <w:pPr>
        <w:widowControl/>
        <w:suppressAutoHyphens w:val="0"/>
        <w:jc w:val="both"/>
      </w:pPr>
      <w:r>
        <w:rPr>
          <w:rFonts w:eastAsia="Times New Roman" w:cs="Times New Roman"/>
          <w:color w:val="000000"/>
          <w:lang w:eastAsia="ar-SA" w:bidi="ar-SA"/>
        </w:rPr>
        <w:t>I membri del CdV esaminano in modo analitico ciascuno dei criteri afferenti all’ambito 1/A (</w:t>
      </w:r>
      <w:r>
        <w:rPr>
          <w:rFonts w:eastAsia="Times New Roman" w:cs="Times New Roman"/>
          <w:i/>
          <w:iCs/>
          <w:color w:val="000000"/>
          <w:lang w:eastAsia="ar-SA" w:bidi="ar-SA"/>
        </w:rPr>
        <w:t>Qualità dell’insegnamento</w:t>
      </w:r>
      <w:r>
        <w:rPr>
          <w:rFonts w:eastAsia="Times New Roman" w:cs="Times New Roman"/>
          <w:color w:val="000000"/>
          <w:lang w:eastAsia="ar-SA" w:bidi="ar-SA"/>
        </w:rPr>
        <w:t>) e concordano di mantenere i 6 criteri (</w:t>
      </w:r>
      <w:r>
        <w:rPr>
          <w:rFonts w:eastAsia="Times New Roman" w:cs="Times New Roman"/>
          <w:i/>
          <w:iCs/>
          <w:color w:val="000000"/>
          <w:lang w:eastAsia="ar-SA" w:bidi="ar-SA"/>
        </w:rPr>
        <w:t>a</w:t>
      </w:r>
      <w:r>
        <w:rPr>
          <w:rFonts w:eastAsia="Times New Roman" w:cs="Times New Roman"/>
          <w:color w:val="000000"/>
          <w:lang w:eastAsia="ar-SA" w:bidi="ar-SA"/>
        </w:rPr>
        <w:t xml:space="preserve"> – </w:t>
      </w:r>
      <w:r>
        <w:rPr>
          <w:rFonts w:eastAsia="Times New Roman" w:cs="Times New Roman"/>
          <w:i/>
          <w:iCs/>
          <w:color w:val="000000"/>
          <w:lang w:eastAsia="ar-SA" w:bidi="ar-SA"/>
        </w:rPr>
        <w:t>f</w:t>
      </w:r>
      <w:r>
        <w:rPr>
          <w:rFonts w:eastAsia="Times New Roman" w:cs="Times New Roman"/>
          <w:color w:val="000000"/>
          <w:lang w:eastAsia="ar-SA" w:bidi="ar-SA"/>
        </w:rPr>
        <w:t xml:space="preserve">) individuati la seduta precedente. Il membro rappresentante della componente genitori sottolinea l’opportunità di introdurre tra i criteri alcune voci che enfatizzino la capacità dei docenti di curare il clima d’aula e di prestare attenzione alle dinamiche relazionali all’interno della classe; il membro rappresentante della componente studentesca esprime la propria condivisione alla suddetta proposta e sottolinea l’importanza del criterio </w:t>
      </w:r>
      <w:r>
        <w:rPr>
          <w:rFonts w:eastAsia="Times New Roman" w:cs="Times New Roman"/>
          <w:i/>
          <w:iCs/>
          <w:color w:val="000000"/>
          <w:lang w:eastAsia="ar-SA" w:bidi="ar-SA"/>
        </w:rPr>
        <w:t>d</w:t>
      </w:r>
      <w:r>
        <w:rPr>
          <w:rFonts w:eastAsia="Times New Roman" w:cs="Times New Roman"/>
          <w:color w:val="000000"/>
          <w:lang w:eastAsia="ar-SA" w:bidi="ar-SA"/>
        </w:rPr>
        <w:t xml:space="preserve"> attinente all’utilizzo di didattiche laboratoriali e collaborative.</w:t>
      </w:r>
    </w:p>
    <w:p w:rsidR="002518E8" w:rsidRDefault="002518E8">
      <w:pPr>
        <w:widowControl/>
        <w:suppressAutoHyphens w:val="0"/>
        <w:jc w:val="both"/>
        <w:rPr>
          <w:sz w:val="20"/>
          <w:szCs w:val="20"/>
        </w:rPr>
      </w:pPr>
      <w:r>
        <w:t>Gli altri membri del comitato di Valutazione, pur riconoscendo la rilevanza fondamentale e imprescindibile dei fattori indicati dalla dott.ssa Impavido nel definire la qualità dell’insegnamento, mettono in luce l’assenza, ad oggi, di strumenti  che consentano di rilevare tali elementi a partire da evidenze oggettive e non in modo meramente discrezionale; pertanto si concorda all’unanimità di mantenere inalterati  i criteri a-f, sotto riportati.</w:t>
      </w:r>
    </w:p>
    <w:p w:rsidR="002518E8" w:rsidRDefault="002518E8">
      <w:pPr>
        <w:widowControl/>
        <w:suppressAutoHyphens w:val="0"/>
        <w:jc w:val="both"/>
        <w:rPr>
          <w:sz w:val="20"/>
          <w:szCs w:val="20"/>
        </w:rPr>
      </w:pPr>
    </w:p>
    <w:tbl>
      <w:tblPr>
        <w:tblW w:w="0" w:type="auto"/>
        <w:tblInd w:w="-15" w:type="dxa"/>
        <w:tblLayout w:type="fixed"/>
        <w:tblLook w:val="0000"/>
      </w:tblPr>
      <w:tblGrid>
        <w:gridCol w:w="8472"/>
        <w:gridCol w:w="1336"/>
      </w:tblGrid>
      <w:tr w:rsidR="002518E8">
        <w:tc>
          <w:tcPr>
            <w:tcW w:w="8472" w:type="dxa"/>
            <w:tcBorders>
              <w:top w:val="single" w:sz="4" w:space="0" w:color="000000"/>
              <w:left w:val="single" w:sz="4" w:space="0" w:color="000000"/>
              <w:bottom w:val="single" w:sz="4" w:space="0" w:color="000000"/>
            </w:tcBorders>
            <w:shd w:val="clear" w:color="auto" w:fill="auto"/>
          </w:tcPr>
          <w:p w:rsidR="002518E8" w:rsidRDefault="002518E8">
            <w:pPr>
              <w:widowControl/>
              <w:suppressAutoHyphens w:val="0"/>
              <w:jc w:val="both"/>
              <w:rPr>
                <w:b/>
                <w:sz w:val="20"/>
                <w:szCs w:val="20"/>
              </w:rPr>
            </w:pPr>
            <w:r>
              <w:rPr>
                <w:b/>
                <w:sz w:val="20"/>
                <w:szCs w:val="20"/>
              </w:rPr>
              <w:t>INDICATORI</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2518E8" w:rsidRDefault="002518E8">
            <w:pPr>
              <w:widowControl/>
              <w:suppressAutoHyphens w:val="0"/>
              <w:jc w:val="both"/>
            </w:pPr>
            <w:r>
              <w:rPr>
                <w:b/>
                <w:sz w:val="20"/>
                <w:szCs w:val="20"/>
              </w:rPr>
              <w:t>PESATURA DEI CRITERI</w:t>
            </w:r>
          </w:p>
        </w:tc>
      </w:tr>
      <w:tr w:rsidR="002518E8">
        <w:tc>
          <w:tcPr>
            <w:tcW w:w="8472" w:type="dxa"/>
            <w:tcBorders>
              <w:top w:val="single" w:sz="4" w:space="0" w:color="000000"/>
              <w:left w:val="single" w:sz="4" w:space="0" w:color="000000"/>
              <w:bottom w:val="single" w:sz="4" w:space="0" w:color="000000"/>
            </w:tcBorders>
            <w:shd w:val="clear" w:color="auto" w:fill="auto"/>
          </w:tcPr>
          <w:p w:rsidR="002518E8" w:rsidRDefault="002518E8">
            <w:pPr>
              <w:jc w:val="both"/>
              <w:rPr>
                <w:sz w:val="20"/>
                <w:szCs w:val="20"/>
              </w:rPr>
            </w:pPr>
            <w:r>
              <w:rPr>
                <w:b/>
                <w:sz w:val="20"/>
                <w:szCs w:val="20"/>
              </w:rPr>
              <w:t>AMBITO 1/A – QUALITA’ DELL’INSEGNAMENTO</w:t>
            </w:r>
          </w:p>
          <w:p w:rsidR="002518E8" w:rsidRDefault="002518E8">
            <w:pPr>
              <w:widowControl/>
              <w:suppressAutoHyphens w:val="0"/>
              <w:jc w:val="both"/>
              <w:rPr>
                <w:sz w:val="20"/>
                <w:szCs w:val="20"/>
              </w:rPr>
            </w:pPr>
          </w:p>
          <w:p w:rsidR="002518E8" w:rsidRDefault="002518E8">
            <w:pPr>
              <w:widowControl/>
              <w:numPr>
                <w:ilvl w:val="0"/>
                <w:numId w:val="5"/>
              </w:numPr>
              <w:suppressAutoHyphens w:val="0"/>
              <w:ind w:left="851" w:hanging="851"/>
              <w:jc w:val="both"/>
              <w:rPr>
                <w:sz w:val="20"/>
                <w:szCs w:val="20"/>
              </w:rPr>
            </w:pPr>
            <w:r>
              <w:rPr>
                <w:sz w:val="20"/>
                <w:szCs w:val="20"/>
              </w:rPr>
              <w:t>Precisione e puntualità nella tenuta della documentazione  ( a cura del DS)</w:t>
            </w:r>
          </w:p>
          <w:p w:rsidR="002518E8" w:rsidRDefault="002518E8">
            <w:pPr>
              <w:jc w:val="both"/>
              <w:rPr>
                <w:sz w:val="20"/>
                <w:szCs w:val="20"/>
              </w:rPr>
            </w:pPr>
          </w:p>
          <w:p w:rsidR="002518E8" w:rsidRDefault="002518E8">
            <w:pPr>
              <w:widowControl/>
              <w:numPr>
                <w:ilvl w:val="0"/>
                <w:numId w:val="5"/>
              </w:numPr>
              <w:suppressAutoHyphens w:val="0"/>
              <w:ind w:left="851" w:hanging="851"/>
              <w:jc w:val="both"/>
              <w:rPr>
                <w:sz w:val="20"/>
                <w:szCs w:val="20"/>
              </w:rPr>
            </w:pPr>
            <w:r>
              <w:rPr>
                <w:sz w:val="20"/>
                <w:szCs w:val="20"/>
              </w:rPr>
              <w:t xml:space="preserve">Elaborazione e attivazione di esperienze didattiche innovative (ex: moduli, UDA, aree di progetto etc.) con programmazione congiunta in sede di CDC mirate a  focus di apprendimento/formativo      </w:t>
            </w:r>
          </w:p>
          <w:p w:rsidR="002518E8" w:rsidRDefault="002518E8">
            <w:pPr>
              <w:ind w:left="851" w:hanging="851"/>
              <w:jc w:val="both"/>
              <w:rPr>
                <w:sz w:val="20"/>
                <w:szCs w:val="20"/>
              </w:rPr>
            </w:pPr>
          </w:p>
          <w:p w:rsidR="002518E8" w:rsidRDefault="002518E8">
            <w:pPr>
              <w:widowControl/>
              <w:numPr>
                <w:ilvl w:val="0"/>
                <w:numId w:val="5"/>
              </w:numPr>
              <w:suppressAutoHyphens w:val="0"/>
              <w:ind w:left="851" w:hanging="851"/>
              <w:jc w:val="both"/>
              <w:rPr>
                <w:sz w:val="20"/>
                <w:szCs w:val="20"/>
              </w:rPr>
            </w:pPr>
            <w:r>
              <w:rPr>
                <w:sz w:val="20"/>
                <w:szCs w:val="20"/>
              </w:rPr>
              <w:t>Didattica per gruppi di livello anche in collaborazione con i colleghi e in contesti di apprendimento innovativi</w:t>
            </w:r>
          </w:p>
          <w:p w:rsidR="002518E8" w:rsidRDefault="002518E8">
            <w:pPr>
              <w:ind w:left="851" w:hanging="851"/>
              <w:jc w:val="both"/>
              <w:rPr>
                <w:sz w:val="20"/>
                <w:szCs w:val="20"/>
              </w:rPr>
            </w:pPr>
          </w:p>
          <w:p w:rsidR="002518E8" w:rsidRDefault="002518E8">
            <w:pPr>
              <w:widowControl/>
              <w:numPr>
                <w:ilvl w:val="0"/>
                <w:numId w:val="5"/>
              </w:numPr>
              <w:suppressAutoHyphens w:val="0"/>
              <w:ind w:left="851" w:hanging="851"/>
              <w:jc w:val="both"/>
              <w:rPr>
                <w:sz w:val="20"/>
                <w:szCs w:val="20"/>
              </w:rPr>
            </w:pPr>
            <w:r>
              <w:rPr>
                <w:sz w:val="20"/>
                <w:szCs w:val="20"/>
              </w:rPr>
              <w:t>Utilizzo  documentabile della  didattica laboratoriale  e del cooperative learning</w:t>
            </w:r>
          </w:p>
          <w:p w:rsidR="002518E8" w:rsidRDefault="002518E8">
            <w:pPr>
              <w:ind w:left="851" w:hanging="851"/>
              <w:jc w:val="both"/>
              <w:rPr>
                <w:sz w:val="20"/>
                <w:szCs w:val="20"/>
              </w:rPr>
            </w:pPr>
          </w:p>
          <w:p w:rsidR="002518E8" w:rsidRDefault="002518E8">
            <w:pPr>
              <w:widowControl/>
              <w:numPr>
                <w:ilvl w:val="0"/>
                <w:numId w:val="5"/>
              </w:numPr>
              <w:suppressAutoHyphens w:val="0"/>
              <w:ind w:left="851" w:hanging="851"/>
              <w:jc w:val="both"/>
              <w:rPr>
                <w:sz w:val="20"/>
                <w:szCs w:val="20"/>
              </w:rPr>
            </w:pPr>
            <w:r>
              <w:rPr>
                <w:sz w:val="20"/>
                <w:szCs w:val="20"/>
              </w:rPr>
              <w:t xml:space="preserve">Utilizzo  documentabile delle ICT in modo sistematico con produzione di materiale didattico </w:t>
            </w:r>
          </w:p>
          <w:p w:rsidR="002518E8" w:rsidRDefault="002518E8">
            <w:pPr>
              <w:widowControl/>
              <w:suppressAutoHyphens w:val="0"/>
              <w:jc w:val="both"/>
              <w:rPr>
                <w:sz w:val="20"/>
                <w:szCs w:val="20"/>
              </w:rPr>
            </w:pPr>
          </w:p>
          <w:p w:rsidR="002518E8" w:rsidRDefault="002518E8">
            <w:pPr>
              <w:widowControl/>
              <w:numPr>
                <w:ilvl w:val="0"/>
                <w:numId w:val="5"/>
              </w:numPr>
              <w:suppressAutoHyphens w:val="0"/>
              <w:ind w:left="851" w:hanging="851"/>
              <w:jc w:val="both"/>
              <w:rPr>
                <w:b/>
                <w:sz w:val="20"/>
                <w:szCs w:val="20"/>
              </w:rPr>
            </w:pPr>
            <w:r>
              <w:rPr>
                <w:sz w:val="20"/>
                <w:szCs w:val="20"/>
              </w:rPr>
              <w:t>Realizzazione di una programmazione personalizzata nell’ottica di una didattica inclusiva (BES, H, DSA, extracomunitari)</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2518E8" w:rsidRDefault="002518E8">
            <w:pPr>
              <w:snapToGrid w:val="0"/>
              <w:ind w:left="360"/>
              <w:jc w:val="both"/>
              <w:rPr>
                <w:b/>
                <w:sz w:val="20"/>
                <w:szCs w:val="20"/>
              </w:rPr>
            </w:pPr>
          </w:p>
          <w:p w:rsidR="002518E8" w:rsidRDefault="002518E8">
            <w:pPr>
              <w:ind w:left="360"/>
              <w:jc w:val="both"/>
              <w:rPr>
                <w:b/>
                <w:sz w:val="20"/>
                <w:szCs w:val="20"/>
              </w:rPr>
            </w:pPr>
          </w:p>
          <w:p w:rsidR="002518E8" w:rsidRDefault="002518E8">
            <w:pPr>
              <w:rPr>
                <w:b/>
                <w:sz w:val="20"/>
                <w:szCs w:val="20"/>
              </w:rPr>
            </w:pPr>
            <w:r>
              <w:rPr>
                <w:b/>
                <w:sz w:val="20"/>
                <w:szCs w:val="20"/>
              </w:rPr>
              <w:t>1</w:t>
            </w:r>
          </w:p>
          <w:p w:rsidR="002518E8" w:rsidRDefault="002518E8">
            <w:pPr>
              <w:jc w:val="center"/>
              <w:rPr>
                <w:b/>
                <w:sz w:val="20"/>
                <w:szCs w:val="20"/>
              </w:rPr>
            </w:pPr>
          </w:p>
          <w:p w:rsidR="002518E8" w:rsidRDefault="002518E8">
            <w:pPr>
              <w:rPr>
                <w:b/>
                <w:sz w:val="20"/>
                <w:szCs w:val="20"/>
              </w:rPr>
            </w:pPr>
            <w:r>
              <w:rPr>
                <w:b/>
                <w:sz w:val="20"/>
                <w:szCs w:val="20"/>
              </w:rPr>
              <w:t>3</w:t>
            </w:r>
          </w:p>
          <w:p w:rsidR="002518E8" w:rsidRDefault="002518E8">
            <w:pPr>
              <w:jc w:val="center"/>
              <w:rPr>
                <w:b/>
                <w:sz w:val="20"/>
                <w:szCs w:val="20"/>
              </w:rPr>
            </w:pPr>
          </w:p>
          <w:p w:rsidR="002518E8" w:rsidRDefault="002518E8">
            <w:pPr>
              <w:jc w:val="center"/>
              <w:rPr>
                <w:b/>
                <w:sz w:val="20"/>
                <w:szCs w:val="20"/>
              </w:rPr>
            </w:pPr>
          </w:p>
          <w:p w:rsidR="002518E8" w:rsidRDefault="002518E8">
            <w:pPr>
              <w:ind w:left="360"/>
              <w:jc w:val="center"/>
              <w:rPr>
                <w:b/>
                <w:sz w:val="20"/>
                <w:szCs w:val="20"/>
              </w:rPr>
            </w:pPr>
          </w:p>
          <w:p w:rsidR="002518E8" w:rsidRDefault="002518E8">
            <w:pPr>
              <w:rPr>
                <w:b/>
                <w:sz w:val="20"/>
                <w:szCs w:val="20"/>
              </w:rPr>
            </w:pPr>
            <w:r>
              <w:rPr>
                <w:b/>
                <w:sz w:val="20"/>
                <w:szCs w:val="20"/>
              </w:rPr>
              <w:t>3</w:t>
            </w:r>
          </w:p>
          <w:p w:rsidR="002518E8" w:rsidRDefault="002518E8">
            <w:pPr>
              <w:ind w:left="360"/>
              <w:jc w:val="center"/>
              <w:rPr>
                <w:b/>
                <w:sz w:val="20"/>
                <w:szCs w:val="20"/>
              </w:rPr>
            </w:pPr>
          </w:p>
          <w:p w:rsidR="002518E8" w:rsidRDefault="002518E8">
            <w:pPr>
              <w:rPr>
                <w:b/>
                <w:sz w:val="20"/>
                <w:szCs w:val="20"/>
              </w:rPr>
            </w:pPr>
          </w:p>
          <w:p w:rsidR="002518E8" w:rsidRDefault="002518E8">
            <w:pPr>
              <w:rPr>
                <w:b/>
                <w:sz w:val="20"/>
                <w:szCs w:val="20"/>
              </w:rPr>
            </w:pPr>
            <w:r>
              <w:rPr>
                <w:b/>
                <w:sz w:val="20"/>
                <w:szCs w:val="20"/>
              </w:rPr>
              <w:t>3</w:t>
            </w:r>
          </w:p>
          <w:p w:rsidR="002518E8" w:rsidRDefault="002518E8">
            <w:pPr>
              <w:rPr>
                <w:b/>
                <w:sz w:val="20"/>
                <w:szCs w:val="20"/>
              </w:rPr>
            </w:pPr>
          </w:p>
          <w:p w:rsidR="002518E8" w:rsidRDefault="002518E8">
            <w:r>
              <w:rPr>
                <w:b/>
                <w:sz w:val="20"/>
                <w:szCs w:val="20"/>
              </w:rPr>
              <w:t>4</w:t>
            </w:r>
          </w:p>
          <w:p w:rsidR="002518E8" w:rsidRDefault="002518E8">
            <w:pPr>
              <w:widowControl/>
              <w:suppressAutoHyphens w:val="0"/>
              <w:jc w:val="both"/>
            </w:pPr>
          </w:p>
          <w:p w:rsidR="002518E8" w:rsidRDefault="002518E8">
            <w:r>
              <w:rPr>
                <w:b/>
                <w:sz w:val="20"/>
                <w:szCs w:val="20"/>
              </w:rPr>
              <w:t>3</w:t>
            </w:r>
          </w:p>
        </w:tc>
      </w:tr>
    </w:tbl>
    <w:p w:rsidR="002518E8" w:rsidRDefault="002518E8">
      <w:pPr>
        <w:widowControl/>
        <w:suppressAutoHyphens w:val="0"/>
        <w:jc w:val="both"/>
      </w:pPr>
    </w:p>
    <w:p w:rsidR="002518E8" w:rsidRDefault="002518E8">
      <w:pPr>
        <w:widowControl/>
        <w:suppressAutoHyphens w:val="0"/>
        <w:jc w:val="both"/>
      </w:pPr>
    </w:p>
    <w:p w:rsidR="002518E8" w:rsidRDefault="002518E8">
      <w:pPr>
        <w:widowControl/>
        <w:suppressAutoHyphens w:val="0"/>
        <w:jc w:val="both"/>
      </w:pPr>
    </w:p>
    <w:p w:rsidR="002518E8" w:rsidRDefault="002518E8">
      <w:pPr>
        <w:widowControl/>
        <w:suppressAutoHyphens w:val="0"/>
        <w:jc w:val="both"/>
      </w:pPr>
      <w:r>
        <w:t>Si passa quindi alla disamina della sezione 1/B (</w:t>
      </w:r>
      <w:r>
        <w:rPr>
          <w:i/>
          <w:iCs/>
        </w:rPr>
        <w:t>Contributo al miglioramento dell’istituzione scolastica</w:t>
      </w:r>
      <w:r>
        <w:t xml:space="preserve">); si concorda di accorpare in un unico blocco le voci </w:t>
      </w:r>
      <w:r>
        <w:rPr>
          <w:i/>
          <w:iCs/>
        </w:rPr>
        <w:t>a</w:t>
      </w:r>
      <w:r>
        <w:t xml:space="preserve"> e </w:t>
      </w:r>
      <w:r>
        <w:rPr>
          <w:i/>
          <w:iCs/>
        </w:rPr>
        <w:t>b</w:t>
      </w:r>
      <w:r>
        <w:t>; la discussione si focalizza sul punto</w:t>
      </w:r>
      <w:r>
        <w:rPr>
          <w:i/>
          <w:iCs/>
        </w:rPr>
        <w:t xml:space="preserve"> c</w:t>
      </w:r>
      <w:r>
        <w:t xml:space="preserve"> , in particolare sull’opportunità di considerare degno di premialità l’utilizzo di strumenti di valutazione per competenze anche laddove non previsto dalle aree disciplinari. Al termine del confronto si passa alla votazione della sezione 1/B, che risulta approvata a maggioranza (contrario un membro della componente docenti, prof.ssa Zanello). Vengono modificati  i pesi attributi a ciascun criterio, come da tabella.</w:t>
      </w:r>
    </w:p>
    <w:p w:rsidR="002518E8" w:rsidRDefault="002518E8">
      <w:pPr>
        <w:widowControl/>
        <w:suppressAutoHyphens w:val="0"/>
        <w:jc w:val="both"/>
      </w:pPr>
    </w:p>
    <w:tbl>
      <w:tblPr>
        <w:tblW w:w="0" w:type="auto"/>
        <w:tblInd w:w="-15" w:type="dxa"/>
        <w:tblLayout w:type="fixed"/>
        <w:tblLook w:val="0000"/>
      </w:tblPr>
      <w:tblGrid>
        <w:gridCol w:w="8472"/>
        <w:gridCol w:w="1336"/>
      </w:tblGrid>
      <w:tr w:rsidR="002518E8">
        <w:tc>
          <w:tcPr>
            <w:tcW w:w="8472" w:type="dxa"/>
            <w:tcBorders>
              <w:top w:val="single" w:sz="4" w:space="0" w:color="000000"/>
              <w:left w:val="single" w:sz="4" w:space="0" w:color="000000"/>
              <w:bottom w:val="single" w:sz="4" w:space="0" w:color="000000"/>
            </w:tcBorders>
            <w:shd w:val="clear" w:color="auto" w:fill="auto"/>
          </w:tcPr>
          <w:p w:rsidR="002518E8" w:rsidRDefault="002518E8">
            <w:pPr>
              <w:widowControl/>
              <w:suppressAutoHyphens w:val="0"/>
              <w:jc w:val="both"/>
              <w:rPr>
                <w:b/>
                <w:sz w:val="20"/>
                <w:szCs w:val="20"/>
              </w:rPr>
            </w:pPr>
            <w:r>
              <w:rPr>
                <w:b/>
                <w:sz w:val="20"/>
                <w:szCs w:val="20"/>
              </w:rPr>
              <w:t>INDICATORI</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2518E8" w:rsidRDefault="002518E8">
            <w:pPr>
              <w:widowControl/>
              <w:suppressAutoHyphens w:val="0"/>
              <w:jc w:val="both"/>
            </w:pPr>
            <w:r>
              <w:rPr>
                <w:b/>
                <w:sz w:val="20"/>
                <w:szCs w:val="20"/>
              </w:rPr>
              <w:t>PESATURA DEI CRITERI</w:t>
            </w:r>
          </w:p>
        </w:tc>
      </w:tr>
      <w:tr w:rsidR="002518E8">
        <w:trPr>
          <w:trHeight w:val="3049"/>
        </w:trPr>
        <w:tc>
          <w:tcPr>
            <w:tcW w:w="8472" w:type="dxa"/>
            <w:tcBorders>
              <w:top w:val="single" w:sz="4" w:space="0" w:color="000000"/>
              <w:left w:val="single" w:sz="4" w:space="0" w:color="000000"/>
              <w:bottom w:val="single" w:sz="4" w:space="0" w:color="000000"/>
            </w:tcBorders>
            <w:shd w:val="clear" w:color="auto" w:fill="auto"/>
          </w:tcPr>
          <w:p w:rsidR="002518E8" w:rsidRDefault="002518E8">
            <w:pPr>
              <w:ind w:left="360" w:hanging="360"/>
              <w:jc w:val="both"/>
              <w:rPr>
                <w:b/>
                <w:sz w:val="20"/>
                <w:szCs w:val="20"/>
              </w:rPr>
            </w:pPr>
            <w:r>
              <w:rPr>
                <w:b/>
                <w:sz w:val="20"/>
                <w:szCs w:val="20"/>
              </w:rPr>
              <w:t>AMBITO 1/B – CONTRIBUTO AL MIGLIORAMENTO DELL’ISTITUZIONE SCOLASTICA</w:t>
            </w:r>
          </w:p>
          <w:p w:rsidR="002518E8" w:rsidRDefault="002518E8">
            <w:pPr>
              <w:ind w:left="360"/>
              <w:jc w:val="both"/>
              <w:rPr>
                <w:b/>
                <w:sz w:val="20"/>
                <w:szCs w:val="20"/>
              </w:rPr>
            </w:pPr>
          </w:p>
          <w:p w:rsidR="002518E8" w:rsidRDefault="002518E8">
            <w:pPr>
              <w:widowControl/>
              <w:numPr>
                <w:ilvl w:val="0"/>
                <w:numId w:val="6"/>
              </w:numPr>
              <w:suppressAutoHyphens w:val="0"/>
              <w:ind w:left="709" w:hanging="709"/>
              <w:jc w:val="both"/>
              <w:rPr>
                <w:sz w:val="20"/>
                <w:szCs w:val="20"/>
              </w:rPr>
            </w:pPr>
            <w:r>
              <w:rPr>
                <w:sz w:val="20"/>
                <w:szCs w:val="20"/>
              </w:rPr>
              <w:t>Applicazione del piano di miglioramento d’istituto nelle sue ricadute didattiche e/o organizzative</w:t>
            </w:r>
          </w:p>
          <w:p w:rsidR="002518E8" w:rsidRDefault="002518E8">
            <w:pPr>
              <w:jc w:val="both"/>
              <w:rPr>
                <w:sz w:val="20"/>
                <w:szCs w:val="20"/>
              </w:rPr>
            </w:pPr>
            <w:r>
              <w:rPr>
                <w:sz w:val="20"/>
                <w:szCs w:val="20"/>
              </w:rPr>
              <w:t xml:space="preserve"> Contributo alla realizzazione delle scelte strategiche indicate nel PTOF</w:t>
            </w:r>
          </w:p>
          <w:p w:rsidR="002518E8" w:rsidRDefault="002518E8">
            <w:pPr>
              <w:ind w:left="709" w:hanging="709"/>
              <w:jc w:val="both"/>
              <w:rPr>
                <w:sz w:val="20"/>
                <w:szCs w:val="20"/>
              </w:rPr>
            </w:pPr>
          </w:p>
          <w:p w:rsidR="002518E8" w:rsidRDefault="002518E8">
            <w:pPr>
              <w:widowControl/>
              <w:numPr>
                <w:ilvl w:val="0"/>
                <w:numId w:val="6"/>
              </w:numPr>
              <w:suppressAutoHyphens w:val="0"/>
              <w:ind w:left="709" w:hanging="709"/>
              <w:jc w:val="both"/>
              <w:rPr>
                <w:sz w:val="20"/>
                <w:szCs w:val="20"/>
              </w:rPr>
            </w:pPr>
            <w:r>
              <w:rPr>
                <w:sz w:val="20"/>
                <w:szCs w:val="20"/>
              </w:rPr>
              <w:t>Applicazione dei criteri di valutazione e di strumenti di valutazione per competenza anche  laddove non previsto</w:t>
            </w:r>
          </w:p>
          <w:p w:rsidR="002518E8" w:rsidRDefault="002518E8">
            <w:pPr>
              <w:ind w:left="709" w:hanging="709"/>
              <w:jc w:val="both"/>
              <w:rPr>
                <w:sz w:val="20"/>
                <w:szCs w:val="20"/>
              </w:rPr>
            </w:pPr>
          </w:p>
          <w:p w:rsidR="002518E8" w:rsidRDefault="002518E8">
            <w:pPr>
              <w:widowControl/>
              <w:numPr>
                <w:ilvl w:val="0"/>
                <w:numId w:val="6"/>
              </w:numPr>
              <w:suppressAutoHyphens w:val="0"/>
              <w:ind w:left="709" w:hanging="709"/>
              <w:rPr>
                <w:sz w:val="20"/>
                <w:szCs w:val="20"/>
              </w:rPr>
            </w:pPr>
            <w:r>
              <w:rPr>
                <w:sz w:val="20"/>
                <w:szCs w:val="20"/>
              </w:rPr>
              <w:t>Azioni tese allo sviluppo dell’area internazionalizzazione</w:t>
            </w:r>
          </w:p>
          <w:p w:rsidR="002518E8" w:rsidRDefault="002518E8">
            <w:pPr>
              <w:ind w:left="709" w:hanging="709"/>
              <w:rPr>
                <w:sz w:val="20"/>
                <w:szCs w:val="20"/>
              </w:rPr>
            </w:pPr>
          </w:p>
          <w:p w:rsidR="002518E8" w:rsidRDefault="002518E8">
            <w:pPr>
              <w:widowControl/>
              <w:numPr>
                <w:ilvl w:val="0"/>
                <w:numId w:val="6"/>
              </w:numPr>
              <w:suppressAutoHyphens w:val="0"/>
              <w:ind w:left="709" w:hanging="709"/>
              <w:rPr>
                <w:sz w:val="20"/>
                <w:szCs w:val="20"/>
              </w:rPr>
            </w:pPr>
            <w:r>
              <w:rPr>
                <w:sz w:val="20"/>
                <w:szCs w:val="20"/>
              </w:rPr>
              <w:t>Azioni tese allo sviluppo / realizzazione di Progetti europei</w:t>
            </w:r>
          </w:p>
          <w:p w:rsidR="002518E8" w:rsidRDefault="002518E8">
            <w:pPr>
              <w:ind w:left="709" w:hanging="709"/>
              <w:rPr>
                <w:sz w:val="20"/>
                <w:szCs w:val="20"/>
              </w:rPr>
            </w:pPr>
          </w:p>
          <w:p w:rsidR="002518E8" w:rsidRDefault="002518E8">
            <w:pPr>
              <w:widowControl/>
              <w:numPr>
                <w:ilvl w:val="0"/>
                <w:numId w:val="6"/>
              </w:numPr>
              <w:suppressAutoHyphens w:val="0"/>
              <w:ind w:left="709" w:hanging="709"/>
              <w:rPr>
                <w:sz w:val="20"/>
                <w:szCs w:val="20"/>
              </w:rPr>
            </w:pPr>
            <w:r>
              <w:rPr>
                <w:sz w:val="20"/>
                <w:szCs w:val="20"/>
              </w:rPr>
              <w:t xml:space="preserve"> Azioni tese allo sviluppo di PON / bandi</w:t>
            </w:r>
          </w:p>
          <w:p w:rsidR="002518E8" w:rsidRDefault="002518E8">
            <w:pPr>
              <w:ind w:left="709" w:hanging="709"/>
              <w:rPr>
                <w:sz w:val="20"/>
                <w:szCs w:val="20"/>
              </w:rPr>
            </w:pPr>
          </w:p>
          <w:p w:rsidR="002518E8" w:rsidRDefault="002518E8">
            <w:pPr>
              <w:widowControl/>
              <w:numPr>
                <w:ilvl w:val="0"/>
                <w:numId w:val="6"/>
              </w:numPr>
              <w:suppressAutoHyphens w:val="0"/>
              <w:ind w:left="709" w:hanging="709"/>
              <w:rPr>
                <w:b/>
                <w:sz w:val="20"/>
                <w:szCs w:val="20"/>
              </w:rPr>
            </w:pPr>
            <w:r>
              <w:rPr>
                <w:sz w:val="20"/>
                <w:szCs w:val="20"/>
              </w:rPr>
              <w:t>Promozione della cultura e dell’eccellenza</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2518E8" w:rsidRDefault="002518E8">
            <w:pPr>
              <w:snapToGrid w:val="0"/>
              <w:ind w:left="360"/>
              <w:jc w:val="both"/>
              <w:rPr>
                <w:b/>
                <w:sz w:val="20"/>
                <w:szCs w:val="20"/>
              </w:rPr>
            </w:pPr>
          </w:p>
          <w:p w:rsidR="002518E8" w:rsidRDefault="002518E8">
            <w:pPr>
              <w:ind w:left="360"/>
              <w:jc w:val="both"/>
              <w:rPr>
                <w:b/>
                <w:sz w:val="20"/>
                <w:szCs w:val="20"/>
              </w:rPr>
            </w:pPr>
          </w:p>
          <w:p w:rsidR="002518E8" w:rsidRDefault="002518E8">
            <w:pPr>
              <w:ind w:left="360"/>
              <w:jc w:val="both"/>
              <w:rPr>
                <w:b/>
                <w:sz w:val="20"/>
                <w:szCs w:val="20"/>
              </w:rPr>
            </w:pPr>
          </w:p>
          <w:p w:rsidR="002518E8" w:rsidRDefault="002518E8">
            <w:pPr>
              <w:jc w:val="both"/>
              <w:rPr>
                <w:b/>
                <w:sz w:val="20"/>
                <w:szCs w:val="20"/>
              </w:rPr>
            </w:pPr>
            <w:r>
              <w:rPr>
                <w:b/>
                <w:sz w:val="20"/>
                <w:szCs w:val="20"/>
              </w:rPr>
              <w:t>4</w:t>
            </w:r>
          </w:p>
          <w:p w:rsidR="002518E8" w:rsidRDefault="002518E8">
            <w:pPr>
              <w:ind w:left="360"/>
              <w:jc w:val="both"/>
              <w:rPr>
                <w:b/>
                <w:sz w:val="20"/>
                <w:szCs w:val="20"/>
              </w:rPr>
            </w:pPr>
          </w:p>
          <w:p w:rsidR="002518E8" w:rsidRDefault="002518E8">
            <w:pPr>
              <w:rPr>
                <w:b/>
                <w:sz w:val="20"/>
                <w:szCs w:val="20"/>
              </w:rPr>
            </w:pPr>
            <w:r>
              <w:rPr>
                <w:b/>
                <w:sz w:val="20"/>
                <w:szCs w:val="20"/>
              </w:rPr>
              <w:t xml:space="preserve">     </w:t>
            </w:r>
          </w:p>
          <w:p w:rsidR="002518E8" w:rsidRDefault="002518E8">
            <w:pPr>
              <w:rPr>
                <w:b/>
                <w:sz w:val="20"/>
                <w:szCs w:val="20"/>
              </w:rPr>
            </w:pPr>
            <w:r>
              <w:rPr>
                <w:b/>
                <w:sz w:val="20"/>
                <w:szCs w:val="20"/>
              </w:rPr>
              <w:t xml:space="preserve"> 1</w:t>
            </w:r>
          </w:p>
          <w:p w:rsidR="002518E8" w:rsidRDefault="002518E8">
            <w:pPr>
              <w:ind w:left="360"/>
              <w:jc w:val="both"/>
              <w:rPr>
                <w:b/>
                <w:sz w:val="20"/>
                <w:szCs w:val="20"/>
              </w:rPr>
            </w:pPr>
          </w:p>
          <w:p w:rsidR="002518E8" w:rsidRDefault="002518E8">
            <w:pPr>
              <w:ind w:left="360"/>
              <w:jc w:val="both"/>
              <w:rPr>
                <w:b/>
                <w:sz w:val="20"/>
                <w:szCs w:val="20"/>
              </w:rPr>
            </w:pPr>
          </w:p>
          <w:p w:rsidR="002518E8" w:rsidRDefault="002518E8">
            <w:pPr>
              <w:jc w:val="both"/>
              <w:rPr>
                <w:b/>
                <w:sz w:val="20"/>
                <w:szCs w:val="20"/>
              </w:rPr>
            </w:pPr>
            <w:r>
              <w:rPr>
                <w:b/>
                <w:sz w:val="20"/>
                <w:szCs w:val="20"/>
              </w:rPr>
              <w:t>3</w:t>
            </w:r>
          </w:p>
          <w:p w:rsidR="002518E8" w:rsidRDefault="002518E8">
            <w:pPr>
              <w:ind w:left="360"/>
              <w:jc w:val="both"/>
              <w:rPr>
                <w:b/>
                <w:sz w:val="20"/>
                <w:szCs w:val="20"/>
              </w:rPr>
            </w:pPr>
          </w:p>
          <w:p w:rsidR="002518E8" w:rsidRDefault="002518E8">
            <w:pPr>
              <w:jc w:val="both"/>
              <w:rPr>
                <w:b/>
                <w:sz w:val="20"/>
                <w:szCs w:val="20"/>
              </w:rPr>
            </w:pPr>
            <w:r>
              <w:rPr>
                <w:b/>
                <w:sz w:val="20"/>
                <w:szCs w:val="20"/>
              </w:rPr>
              <w:t>4</w:t>
            </w:r>
          </w:p>
          <w:p w:rsidR="002518E8" w:rsidRDefault="002518E8">
            <w:pPr>
              <w:jc w:val="both"/>
              <w:rPr>
                <w:b/>
                <w:sz w:val="20"/>
                <w:szCs w:val="20"/>
              </w:rPr>
            </w:pPr>
          </w:p>
          <w:p w:rsidR="002518E8" w:rsidRDefault="002518E8">
            <w:pPr>
              <w:jc w:val="both"/>
              <w:rPr>
                <w:b/>
                <w:sz w:val="20"/>
                <w:szCs w:val="20"/>
              </w:rPr>
            </w:pPr>
            <w:r>
              <w:rPr>
                <w:b/>
                <w:sz w:val="20"/>
                <w:szCs w:val="20"/>
              </w:rPr>
              <w:t>3</w:t>
            </w:r>
          </w:p>
          <w:p w:rsidR="002518E8" w:rsidRDefault="002518E8">
            <w:pPr>
              <w:jc w:val="both"/>
              <w:rPr>
                <w:b/>
                <w:sz w:val="20"/>
                <w:szCs w:val="20"/>
              </w:rPr>
            </w:pPr>
          </w:p>
          <w:p w:rsidR="002518E8" w:rsidRDefault="002518E8">
            <w:pPr>
              <w:jc w:val="both"/>
            </w:pPr>
            <w:r>
              <w:rPr>
                <w:b/>
                <w:sz w:val="20"/>
                <w:szCs w:val="20"/>
              </w:rPr>
              <w:t>4</w:t>
            </w:r>
          </w:p>
          <w:p w:rsidR="002518E8" w:rsidRDefault="002518E8"/>
        </w:tc>
      </w:tr>
    </w:tbl>
    <w:p w:rsidR="002518E8" w:rsidRDefault="002518E8">
      <w:pPr>
        <w:widowControl/>
        <w:suppressAutoHyphens w:val="0"/>
        <w:jc w:val="both"/>
      </w:pPr>
    </w:p>
    <w:p w:rsidR="002518E8" w:rsidRDefault="002518E8">
      <w:pPr>
        <w:widowControl/>
        <w:suppressAutoHyphens w:val="0"/>
        <w:jc w:val="both"/>
      </w:pPr>
    </w:p>
    <w:p w:rsidR="002518E8" w:rsidRDefault="002518E8">
      <w:pPr>
        <w:widowControl/>
        <w:suppressAutoHyphens w:val="0"/>
        <w:jc w:val="both"/>
      </w:pPr>
      <w:r>
        <w:t xml:space="preserve">Si procede considerando l’ambito 1/C; i membri docenti del Comitato esprimono forti perplessità di fronte alla proposta del DS di indicare tra i criteri gli esiti degli studenti (declinati in termini di: esiti  prove Invalsi, prove comuni, esiti di fine anno, esami di stato), perplessità, che d’altra parte erano già state sollevate la riunione precedente. In particolare, l’inopportunità di legare la premialità dei docenti agli esiti degli studenti viene argomentata esponendo le seguenti motivazioni: </w:t>
      </w:r>
    </w:p>
    <w:p w:rsidR="002518E8" w:rsidRDefault="002518E8">
      <w:pPr>
        <w:widowControl/>
        <w:suppressAutoHyphens w:val="0"/>
        <w:jc w:val="both"/>
      </w:pPr>
      <w:r>
        <w:t xml:space="preserve">- gli esiti di apprendimento sono legati ai livelli di partenza degli alunni, spesso molto differenti da classe a classe (come dimostrato dai dati in ingresso rilasciati da Invalsi); </w:t>
      </w:r>
    </w:p>
    <w:p w:rsidR="002518E8" w:rsidRDefault="002518E8">
      <w:pPr>
        <w:widowControl/>
        <w:suppressAutoHyphens w:val="0"/>
        <w:jc w:val="both"/>
      </w:pPr>
      <w:r>
        <w:t>- le prove Invalsi si riferiscono a sole due discipline (italiano e matematica) e alle performance  conseguite nell’anno precedente (del resto, come ribadito nella Nota Invalsi del 15/04/2016, la rilevazione Invalsi è concepita come strumento per accertare la qualità del sistema scolastico nel suo complesso e non come strumento di valutazione dei singoli alunni – e di conseguenza dei singoli docenti);</w:t>
      </w:r>
    </w:p>
    <w:p w:rsidR="002518E8" w:rsidRDefault="002518E8">
      <w:pPr>
        <w:widowControl/>
        <w:suppressAutoHyphens w:val="0"/>
        <w:jc w:val="both"/>
      </w:pPr>
      <w:r>
        <w:t>- gli esiti conseguiti dagli alunni negli esami di stato sono solo in parte  connessi all’acquisizione di competenze specificamente disciplinari e per lo più connessi a competenze trasversali promosse non dal singolo docente ma dall’intero Consiglio di classe;</w:t>
      </w:r>
    </w:p>
    <w:p w:rsidR="002518E8" w:rsidRDefault="002518E8">
      <w:pPr>
        <w:widowControl/>
        <w:suppressAutoHyphens w:val="0"/>
        <w:jc w:val="both"/>
      </w:pPr>
      <w:r>
        <w:t>- la forte discontinuità didattica che caratterizza ormai la maggior parte delle classi rende estremamente difficoltoso associare gli esiti di una classe ad un determinato Consiglio di classe, stabile nel tempo;</w:t>
      </w:r>
    </w:p>
    <w:p w:rsidR="002518E8" w:rsidRDefault="002518E8">
      <w:pPr>
        <w:widowControl/>
        <w:suppressAutoHyphens w:val="0"/>
        <w:jc w:val="both"/>
      </w:pPr>
      <w:r>
        <w:t xml:space="preserve">- in taluni casi la non rigorosa applicazione di criteri di correzione condivisi nella correzione delle prove parallele preclude o comunque rende problematica la comparabilità degli esiti; </w:t>
      </w:r>
    </w:p>
    <w:p w:rsidR="002518E8" w:rsidRDefault="002518E8">
      <w:pPr>
        <w:widowControl/>
        <w:suppressAutoHyphens w:val="0"/>
        <w:jc w:val="both"/>
      </w:pPr>
      <w:r>
        <w:t>- il porre uno stretto legame tra votazioni attribuite agli alunni (es. esiti di fine anno)  e valorizzazione della funzione docente  potrebbe comportare il rischio di generare comportamenti “opportunistici”.</w:t>
      </w:r>
    </w:p>
    <w:p w:rsidR="002518E8" w:rsidRDefault="002518E8">
      <w:pPr>
        <w:widowControl/>
        <w:suppressAutoHyphens w:val="0"/>
        <w:jc w:val="both"/>
      </w:pPr>
      <w:r>
        <w:lastRenderedPageBreak/>
        <w:t>Dopo ampia discussione si decide all’unanimità di  omettere il criterio sopra citato e di introdurre un indicatore  attinente alla progettazione e all’utilizzo di forme di verifica differenziate. L’ambito 1/C, approvato all’unanimità, risulta, pertanto, così articolato:</w:t>
      </w:r>
    </w:p>
    <w:p w:rsidR="002518E8" w:rsidRDefault="002518E8">
      <w:pPr>
        <w:widowControl/>
        <w:suppressAutoHyphens w:val="0"/>
        <w:jc w:val="both"/>
      </w:pPr>
    </w:p>
    <w:tbl>
      <w:tblPr>
        <w:tblW w:w="0" w:type="auto"/>
        <w:tblInd w:w="-15" w:type="dxa"/>
        <w:tblLayout w:type="fixed"/>
        <w:tblLook w:val="0000"/>
      </w:tblPr>
      <w:tblGrid>
        <w:gridCol w:w="8472"/>
        <w:gridCol w:w="1336"/>
      </w:tblGrid>
      <w:tr w:rsidR="002518E8">
        <w:tc>
          <w:tcPr>
            <w:tcW w:w="8472" w:type="dxa"/>
            <w:tcBorders>
              <w:top w:val="single" w:sz="4" w:space="0" w:color="000000"/>
              <w:left w:val="single" w:sz="4" w:space="0" w:color="000000"/>
              <w:bottom w:val="single" w:sz="4" w:space="0" w:color="000000"/>
            </w:tcBorders>
            <w:shd w:val="clear" w:color="auto" w:fill="auto"/>
          </w:tcPr>
          <w:p w:rsidR="002518E8" w:rsidRDefault="002518E8">
            <w:pPr>
              <w:widowControl/>
              <w:suppressAutoHyphens w:val="0"/>
              <w:jc w:val="both"/>
              <w:rPr>
                <w:b/>
                <w:sz w:val="20"/>
                <w:szCs w:val="20"/>
              </w:rPr>
            </w:pPr>
            <w:r>
              <w:rPr>
                <w:b/>
                <w:sz w:val="20"/>
                <w:szCs w:val="20"/>
              </w:rPr>
              <w:t>INDICATORI</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2518E8" w:rsidRDefault="002518E8">
            <w:pPr>
              <w:widowControl/>
              <w:suppressAutoHyphens w:val="0"/>
              <w:jc w:val="both"/>
            </w:pPr>
            <w:r>
              <w:rPr>
                <w:b/>
                <w:sz w:val="20"/>
                <w:szCs w:val="20"/>
              </w:rPr>
              <w:t>PESATURA DEI CRITERI</w:t>
            </w:r>
          </w:p>
        </w:tc>
      </w:tr>
      <w:tr w:rsidR="002518E8">
        <w:trPr>
          <w:trHeight w:val="1417"/>
        </w:trPr>
        <w:tc>
          <w:tcPr>
            <w:tcW w:w="8472" w:type="dxa"/>
            <w:tcBorders>
              <w:top w:val="single" w:sz="4" w:space="0" w:color="000000"/>
              <w:left w:val="single" w:sz="4" w:space="0" w:color="000000"/>
              <w:bottom w:val="single" w:sz="4" w:space="0" w:color="000000"/>
            </w:tcBorders>
            <w:shd w:val="clear" w:color="auto" w:fill="auto"/>
          </w:tcPr>
          <w:p w:rsidR="002518E8" w:rsidRDefault="002518E8">
            <w:pPr>
              <w:jc w:val="both"/>
              <w:rPr>
                <w:sz w:val="20"/>
                <w:szCs w:val="20"/>
              </w:rPr>
            </w:pPr>
            <w:r>
              <w:rPr>
                <w:b/>
                <w:sz w:val="20"/>
                <w:szCs w:val="20"/>
              </w:rPr>
              <w:t>AMBITO 1/C– CONTRIBUTO AL SUCCESSO FORMATIVO E SCOLASTICO</w:t>
            </w:r>
          </w:p>
          <w:p w:rsidR="002518E8" w:rsidRDefault="002518E8">
            <w:pPr>
              <w:jc w:val="both"/>
              <w:rPr>
                <w:sz w:val="20"/>
                <w:szCs w:val="20"/>
              </w:rPr>
            </w:pPr>
          </w:p>
          <w:p w:rsidR="002518E8" w:rsidRDefault="002518E8" w:rsidP="00A134F2">
            <w:pPr>
              <w:widowControl/>
              <w:numPr>
                <w:ilvl w:val="0"/>
                <w:numId w:val="9"/>
              </w:numPr>
              <w:suppressAutoHyphens w:val="0"/>
              <w:ind w:hanging="1440"/>
              <w:jc w:val="both"/>
              <w:rPr>
                <w:sz w:val="20"/>
                <w:szCs w:val="20"/>
              </w:rPr>
            </w:pPr>
            <w:r>
              <w:rPr>
                <w:sz w:val="20"/>
                <w:szCs w:val="20"/>
              </w:rPr>
              <w:t xml:space="preserve">Impiego di diverse forme di verifica compatibilmente con la tipologia della disciplina </w:t>
            </w:r>
          </w:p>
          <w:p w:rsidR="002518E8" w:rsidRDefault="002518E8" w:rsidP="00A134F2">
            <w:pPr>
              <w:ind w:hanging="1440"/>
              <w:jc w:val="both"/>
              <w:rPr>
                <w:sz w:val="20"/>
                <w:szCs w:val="20"/>
              </w:rPr>
            </w:pPr>
          </w:p>
          <w:p w:rsidR="002518E8" w:rsidRDefault="002518E8" w:rsidP="00A134F2">
            <w:pPr>
              <w:widowControl/>
              <w:numPr>
                <w:ilvl w:val="0"/>
                <w:numId w:val="9"/>
              </w:numPr>
              <w:suppressAutoHyphens w:val="0"/>
              <w:ind w:hanging="1440"/>
              <w:jc w:val="both"/>
              <w:rPr>
                <w:sz w:val="20"/>
                <w:szCs w:val="20"/>
              </w:rPr>
            </w:pPr>
            <w:r>
              <w:rPr>
                <w:sz w:val="20"/>
                <w:szCs w:val="20"/>
              </w:rPr>
              <w:t>Personalizzazione dei processi di insegnamento/apprendimento</w:t>
            </w:r>
          </w:p>
          <w:p w:rsidR="002518E8" w:rsidRDefault="002518E8">
            <w:pPr>
              <w:widowControl/>
              <w:suppressAutoHyphens w:val="0"/>
              <w:rPr>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2518E8" w:rsidRDefault="002518E8">
            <w:pPr>
              <w:snapToGrid w:val="0"/>
              <w:ind w:left="360"/>
              <w:jc w:val="both"/>
              <w:rPr>
                <w:b/>
                <w:sz w:val="20"/>
                <w:szCs w:val="20"/>
              </w:rPr>
            </w:pPr>
          </w:p>
          <w:p w:rsidR="002518E8" w:rsidRDefault="002518E8">
            <w:pPr>
              <w:jc w:val="both"/>
            </w:pPr>
          </w:p>
          <w:p w:rsidR="002518E8" w:rsidRDefault="002518E8">
            <w:pPr>
              <w:jc w:val="both"/>
              <w:rPr>
                <w:b/>
                <w:bCs/>
                <w:sz w:val="20"/>
                <w:szCs w:val="20"/>
              </w:rPr>
            </w:pPr>
            <w:r>
              <w:rPr>
                <w:b/>
                <w:bCs/>
                <w:sz w:val="20"/>
                <w:szCs w:val="20"/>
              </w:rPr>
              <w:t>2</w:t>
            </w:r>
          </w:p>
          <w:p w:rsidR="002518E8" w:rsidRDefault="002518E8">
            <w:pPr>
              <w:jc w:val="both"/>
              <w:rPr>
                <w:b/>
                <w:bCs/>
                <w:sz w:val="20"/>
                <w:szCs w:val="20"/>
              </w:rPr>
            </w:pPr>
          </w:p>
          <w:p w:rsidR="002518E8" w:rsidRDefault="002518E8">
            <w:pPr>
              <w:jc w:val="both"/>
            </w:pPr>
            <w:r>
              <w:rPr>
                <w:b/>
                <w:bCs/>
                <w:sz w:val="20"/>
                <w:szCs w:val="20"/>
              </w:rPr>
              <w:t>2</w:t>
            </w:r>
          </w:p>
        </w:tc>
      </w:tr>
    </w:tbl>
    <w:p w:rsidR="002518E8" w:rsidRDefault="002518E8">
      <w:pPr>
        <w:widowControl/>
        <w:suppressAutoHyphens w:val="0"/>
        <w:jc w:val="both"/>
      </w:pPr>
    </w:p>
    <w:p w:rsidR="002518E8" w:rsidRDefault="002518E8">
      <w:pPr>
        <w:widowControl/>
        <w:suppressAutoHyphens w:val="0"/>
        <w:jc w:val="both"/>
      </w:pPr>
      <w:r>
        <w:t>Si prosegue con l’esame dei criteri afferenti all’ambito 2, che vengono approvati all’unanimità nella formulazione sotto riportata.</w:t>
      </w:r>
    </w:p>
    <w:p w:rsidR="002518E8" w:rsidRDefault="002518E8">
      <w:pPr>
        <w:widowControl/>
        <w:suppressAutoHyphens w:val="0"/>
        <w:jc w:val="both"/>
      </w:pPr>
    </w:p>
    <w:tbl>
      <w:tblPr>
        <w:tblW w:w="0" w:type="auto"/>
        <w:tblInd w:w="-15" w:type="dxa"/>
        <w:tblLayout w:type="fixed"/>
        <w:tblLook w:val="0000"/>
      </w:tblPr>
      <w:tblGrid>
        <w:gridCol w:w="8472"/>
        <w:gridCol w:w="1336"/>
      </w:tblGrid>
      <w:tr w:rsidR="002518E8">
        <w:tc>
          <w:tcPr>
            <w:tcW w:w="8472" w:type="dxa"/>
            <w:tcBorders>
              <w:top w:val="single" w:sz="4" w:space="0" w:color="000000"/>
              <w:left w:val="single" w:sz="4" w:space="0" w:color="000000"/>
              <w:bottom w:val="single" w:sz="4" w:space="0" w:color="000000"/>
            </w:tcBorders>
            <w:shd w:val="clear" w:color="auto" w:fill="auto"/>
          </w:tcPr>
          <w:p w:rsidR="002518E8" w:rsidRDefault="002518E8">
            <w:pPr>
              <w:widowControl/>
              <w:suppressAutoHyphens w:val="0"/>
              <w:jc w:val="both"/>
              <w:rPr>
                <w:b/>
                <w:sz w:val="20"/>
                <w:szCs w:val="20"/>
              </w:rPr>
            </w:pPr>
            <w:r>
              <w:rPr>
                <w:b/>
                <w:sz w:val="20"/>
                <w:szCs w:val="20"/>
              </w:rPr>
              <w:t>INDICATORI</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2518E8" w:rsidRDefault="002518E8">
            <w:pPr>
              <w:widowControl/>
              <w:suppressAutoHyphens w:val="0"/>
              <w:jc w:val="both"/>
            </w:pPr>
            <w:r>
              <w:rPr>
                <w:b/>
                <w:sz w:val="20"/>
                <w:szCs w:val="20"/>
              </w:rPr>
              <w:t>PESATURA DEI CRITERI</w:t>
            </w:r>
          </w:p>
        </w:tc>
      </w:tr>
      <w:tr w:rsidR="002518E8">
        <w:trPr>
          <w:trHeight w:val="3049"/>
        </w:trPr>
        <w:tc>
          <w:tcPr>
            <w:tcW w:w="8472" w:type="dxa"/>
            <w:tcBorders>
              <w:top w:val="single" w:sz="4" w:space="0" w:color="000000"/>
              <w:left w:val="single" w:sz="4" w:space="0" w:color="000000"/>
              <w:bottom w:val="single" w:sz="4" w:space="0" w:color="000000"/>
            </w:tcBorders>
            <w:shd w:val="clear" w:color="auto" w:fill="auto"/>
          </w:tcPr>
          <w:p w:rsidR="002518E8" w:rsidRDefault="002518E8">
            <w:pPr>
              <w:jc w:val="both"/>
              <w:rPr>
                <w:b/>
                <w:sz w:val="20"/>
                <w:szCs w:val="20"/>
              </w:rPr>
            </w:pPr>
            <w:r>
              <w:rPr>
                <w:b/>
                <w:sz w:val="20"/>
                <w:szCs w:val="20"/>
              </w:rPr>
              <w:t xml:space="preserve">AMBITO 2 – RISULTATI INDIVIDUALI O DI GRUPPO IN MERITO AL POTENZIAMENTO DELLE COMPETENZE, ALLA INNOVAZIONE METODOLOGICA, ALLA RICERCA DIDATTICA, ALLA DOCUMENTAZIONE E DIFFUSIONE DELLE BUONE PRATICHE </w:t>
            </w:r>
          </w:p>
          <w:p w:rsidR="002518E8" w:rsidRDefault="002518E8">
            <w:pPr>
              <w:jc w:val="both"/>
              <w:rPr>
                <w:b/>
                <w:sz w:val="20"/>
                <w:szCs w:val="20"/>
              </w:rPr>
            </w:pPr>
          </w:p>
          <w:p w:rsidR="002518E8" w:rsidRDefault="002518E8">
            <w:pPr>
              <w:widowControl/>
              <w:numPr>
                <w:ilvl w:val="0"/>
                <w:numId w:val="3"/>
              </w:numPr>
              <w:suppressAutoHyphens w:val="0"/>
              <w:ind w:left="709" w:hanging="709"/>
              <w:jc w:val="both"/>
              <w:rPr>
                <w:sz w:val="20"/>
                <w:szCs w:val="20"/>
              </w:rPr>
            </w:pPr>
            <w:r>
              <w:rPr>
                <w:sz w:val="20"/>
                <w:szCs w:val="20"/>
              </w:rPr>
              <w:t>Esperienze di  cooperative teaching e di diffusione delle buone pratiche anche sul piano informatico e/o della metodologia CLIL</w:t>
            </w:r>
          </w:p>
          <w:p w:rsidR="002518E8" w:rsidRDefault="002518E8">
            <w:pPr>
              <w:ind w:left="709" w:hanging="709"/>
              <w:jc w:val="both"/>
              <w:rPr>
                <w:sz w:val="20"/>
                <w:szCs w:val="20"/>
              </w:rPr>
            </w:pPr>
          </w:p>
          <w:p w:rsidR="002518E8" w:rsidRDefault="002518E8">
            <w:pPr>
              <w:widowControl/>
              <w:numPr>
                <w:ilvl w:val="0"/>
                <w:numId w:val="3"/>
              </w:numPr>
              <w:suppressAutoHyphens w:val="0"/>
              <w:ind w:left="709" w:hanging="709"/>
              <w:jc w:val="both"/>
              <w:rPr>
                <w:sz w:val="20"/>
                <w:szCs w:val="20"/>
              </w:rPr>
            </w:pPr>
            <w:r>
              <w:rPr>
                <w:sz w:val="20"/>
                <w:szCs w:val="20"/>
              </w:rPr>
              <w:t xml:space="preserve">Innovazione metodologica, ricerca, documentaziomne e diffusione delle buone pratiche (EX.: Curricolo verticale, alternanza scuola-lavoro, certificazione delle competenze, certificazione degli skills for life e delle competenze di cittadinanza, orientamento e placement etc.) con produzione di materiali messi a disposizione dell’istituto </w:t>
            </w:r>
          </w:p>
          <w:p w:rsidR="002518E8" w:rsidRDefault="002518E8">
            <w:pPr>
              <w:ind w:left="709" w:hanging="709"/>
              <w:jc w:val="both"/>
              <w:rPr>
                <w:sz w:val="20"/>
                <w:szCs w:val="20"/>
              </w:rPr>
            </w:pPr>
          </w:p>
          <w:p w:rsidR="002518E8" w:rsidRDefault="002518E8">
            <w:pPr>
              <w:widowControl/>
              <w:numPr>
                <w:ilvl w:val="0"/>
                <w:numId w:val="3"/>
              </w:numPr>
              <w:suppressAutoHyphens w:val="0"/>
              <w:ind w:left="709" w:hanging="709"/>
              <w:jc w:val="both"/>
              <w:rPr>
                <w:sz w:val="20"/>
                <w:szCs w:val="20"/>
              </w:rPr>
            </w:pPr>
            <w:r>
              <w:rPr>
                <w:sz w:val="20"/>
                <w:szCs w:val="20"/>
              </w:rPr>
              <w:t xml:space="preserve"> Ricerca e documentazione degli esiti con ricaduta didattica</w:t>
            </w:r>
          </w:p>
          <w:p w:rsidR="002518E8" w:rsidRDefault="002518E8">
            <w:pPr>
              <w:rPr>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2518E8" w:rsidRDefault="002518E8">
            <w:pPr>
              <w:snapToGrid w:val="0"/>
              <w:jc w:val="both"/>
              <w:rPr>
                <w:sz w:val="20"/>
                <w:szCs w:val="20"/>
              </w:rPr>
            </w:pPr>
          </w:p>
          <w:p w:rsidR="002518E8" w:rsidRDefault="002518E8">
            <w:pPr>
              <w:jc w:val="both"/>
              <w:rPr>
                <w:sz w:val="20"/>
                <w:szCs w:val="20"/>
              </w:rPr>
            </w:pPr>
          </w:p>
          <w:p w:rsidR="002518E8" w:rsidRDefault="002518E8">
            <w:pPr>
              <w:jc w:val="both"/>
              <w:rPr>
                <w:sz w:val="20"/>
                <w:szCs w:val="20"/>
              </w:rPr>
            </w:pPr>
          </w:p>
          <w:p w:rsidR="002518E8" w:rsidRDefault="002518E8">
            <w:pPr>
              <w:jc w:val="both"/>
              <w:rPr>
                <w:sz w:val="20"/>
                <w:szCs w:val="20"/>
              </w:rPr>
            </w:pPr>
          </w:p>
          <w:p w:rsidR="002518E8" w:rsidRDefault="002518E8">
            <w:pPr>
              <w:jc w:val="both"/>
              <w:rPr>
                <w:sz w:val="20"/>
                <w:szCs w:val="20"/>
              </w:rPr>
            </w:pPr>
          </w:p>
          <w:p w:rsidR="002518E8" w:rsidRDefault="002518E8">
            <w:pPr>
              <w:jc w:val="both"/>
              <w:rPr>
                <w:b/>
                <w:bCs/>
                <w:sz w:val="20"/>
                <w:szCs w:val="20"/>
              </w:rPr>
            </w:pPr>
            <w:r>
              <w:rPr>
                <w:b/>
                <w:bCs/>
                <w:sz w:val="20"/>
                <w:szCs w:val="20"/>
              </w:rPr>
              <w:t>8</w:t>
            </w:r>
          </w:p>
          <w:p w:rsidR="002518E8" w:rsidRDefault="002518E8">
            <w:pPr>
              <w:jc w:val="both"/>
              <w:rPr>
                <w:b/>
                <w:bCs/>
                <w:sz w:val="20"/>
                <w:szCs w:val="20"/>
              </w:rPr>
            </w:pPr>
          </w:p>
          <w:p w:rsidR="002518E8" w:rsidRDefault="002518E8">
            <w:pPr>
              <w:jc w:val="both"/>
              <w:rPr>
                <w:b/>
                <w:bCs/>
                <w:sz w:val="20"/>
                <w:szCs w:val="20"/>
              </w:rPr>
            </w:pPr>
          </w:p>
          <w:p w:rsidR="002518E8" w:rsidRDefault="002518E8">
            <w:pPr>
              <w:jc w:val="both"/>
              <w:rPr>
                <w:b/>
                <w:bCs/>
                <w:sz w:val="20"/>
                <w:szCs w:val="20"/>
              </w:rPr>
            </w:pPr>
          </w:p>
          <w:p w:rsidR="002518E8" w:rsidRDefault="002518E8">
            <w:pPr>
              <w:jc w:val="both"/>
              <w:rPr>
                <w:b/>
                <w:bCs/>
                <w:sz w:val="20"/>
                <w:szCs w:val="20"/>
              </w:rPr>
            </w:pPr>
            <w:r>
              <w:rPr>
                <w:b/>
                <w:bCs/>
                <w:sz w:val="20"/>
                <w:szCs w:val="20"/>
              </w:rPr>
              <w:t>7</w:t>
            </w:r>
          </w:p>
          <w:p w:rsidR="002518E8" w:rsidRDefault="002518E8">
            <w:pPr>
              <w:jc w:val="both"/>
              <w:rPr>
                <w:b/>
                <w:bCs/>
                <w:sz w:val="20"/>
                <w:szCs w:val="20"/>
              </w:rPr>
            </w:pPr>
          </w:p>
          <w:p w:rsidR="002518E8" w:rsidRDefault="002518E8">
            <w:pPr>
              <w:jc w:val="both"/>
              <w:rPr>
                <w:b/>
                <w:bCs/>
                <w:sz w:val="20"/>
                <w:szCs w:val="20"/>
              </w:rPr>
            </w:pPr>
          </w:p>
          <w:p w:rsidR="002518E8" w:rsidRDefault="002518E8">
            <w:pPr>
              <w:jc w:val="both"/>
              <w:rPr>
                <w:b/>
                <w:bCs/>
                <w:sz w:val="20"/>
                <w:szCs w:val="20"/>
              </w:rPr>
            </w:pPr>
          </w:p>
          <w:p w:rsidR="002518E8" w:rsidRDefault="002518E8">
            <w:pPr>
              <w:jc w:val="both"/>
            </w:pPr>
            <w:r>
              <w:rPr>
                <w:b/>
                <w:bCs/>
                <w:sz w:val="20"/>
                <w:szCs w:val="20"/>
              </w:rPr>
              <w:t>6</w:t>
            </w:r>
          </w:p>
        </w:tc>
      </w:tr>
    </w:tbl>
    <w:p w:rsidR="002518E8" w:rsidRDefault="002518E8">
      <w:pPr>
        <w:widowControl/>
        <w:suppressAutoHyphens w:val="0"/>
        <w:jc w:val="both"/>
      </w:pPr>
    </w:p>
    <w:p w:rsidR="002518E8" w:rsidRDefault="002518E8">
      <w:pPr>
        <w:widowControl/>
        <w:suppressAutoHyphens w:val="0"/>
        <w:jc w:val="both"/>
      </w:pPr>
      <w:r>
        <w:t>Infine, si passa a considerare l’ultima sezione del questionario (</w:t>
      </w:r>
      <w:r>
        <w:rPr>
          <w:i/>
          <w:iCs/>
        </w:rPr>
        <w:t>Responsabilità assunte nel coordinamento organizzativo e dida</w:t>
      </w:r>
      <w:r w:rsidR="00A134F2">
        <w:rPr>
          <w:i/>
          <w:iCs/>
        </w:rPr>
        <w:t>ttico e nella formazione del</w:t>
      </w:r>
      <w:r>
        <w:rPr>
          <w:i/>
          <w:iCs/>
        </w:rPr>
        <w:t xml:space="preserve"> personale</w:t>
      </w:r>
      <w:r>
        <w:t>). I membri docenti mostrano perplessità rispetto al criterio</w:t>
      </w:r>
      <w:r>
        <w:rPr>
          <w:i/>
          <w:iCs/>
        </w:rPr>
        <w:t xml:space="preserve"> d,</w:t>
      </w:r>
      <w:r>
        <w:t xml:space="preserve"> proposto dal DS</w:t>
      </w:r>
      <w:r>
        <w:rPr>
          <w:i/>
          <w:iCs/>
        </w:rPr>
        <w:t>, “Collaborazione al mantenimento di un clima di scuola improntato al benessere”</w:t>
      </w:r>
      <w:r>
        <w:t xml:space="preserve">, la cui valutazione risulta demandata esclusivamente alla discrezionalità del dirigente;  in particolare, si evidenziano i seguenti elementi di criticità: </w:t>
      </w:r>
    </w:p>
    <w:p w:rsidR="002518E8" w:rsidRDefault="002518E8">
      <w:pPr>
        <w:widowControl/>
        <w:suppressAutoHyphens w:val="0"/>
        <w:jc w:val="both"/>
      </w:pPr>
      <w:r>
        <w:t>- il criterio appare poco attinente al contenuto specifico dell’area, centrata su assunzioni di responsabilità organizzative;</w:t>
      </w:r>
    </w:p>
    <w:p w:rsidR="002518E8" w:rsidRDefault="002518E8">
      <w:pPr>
        <w:widowControl/>
        <w:suppressAutoHyphens w:val="0"/>
        <w:jc w:val="both"/>
      </w:pPr>
      <w:r>
        <w:t>- pare, nella generalità dei casi, più facilmente applicabile in senso negativo (sanzionabilità di comportamenti scorretti) che in senso positivo (premialità di comportamenti virtuosi);</w:t>
      </w:r>
    </w:p>
    <w:p w:rsidR="00D20FFC" w:rsidRDefault="002518E8">
      <w:pPr>
        <w:widowControl/>
        <w:suppressAutoHyphens w:val="0"/>
        <w:jc w:val="both"/>
      </w:pPr>
      <w:r>
        <w:t>- si ripresentano le difficoltà di rilevabilità di evidenze oggettive, già messe in luce in riferimento all’indicatore relativo  al clima di classe esaminato nella sezione 1A .</w:t>
      </w:r>
    </w:p>
    <w:p w:rsidR="002518E8" w:rsidRDefault="008C75B4">
      <w:pPr>
        <w:widowControl/>
        <w:suppressAutoHyphens w:val="0"/>
        <w:jc w:val="both"/>
      </w:pPr>
      <w:r>
        <w:t>S</w:t>
      </w:r>
      <w:r w:rsidR="00D20FFC">
        <w:t>i conviene che questo punto, ritenuto particolarmente rilevante dal Dirigente e dalla componente genitori</w:t>
      </w:r>
      <w:r w:rsidR="00757194">
        <w:t xml:space="preserve"> e studenti</w:t>
      </w:r>
      <w:r>
        <w:t>,</w:t>
      </w:r>
      <w:r w:rsidR="00757194">
        <w:t xml:space="preserve"> sia oggetto di ulteriori riflessioni al fine di poter individuare </w:t>
      </w:r>
      <w:r>
        <w:t xml:space="preserve">nel futuro </w:t>
      </w:r>
      <w:r w:rsidR="00757194">
        <w:t xml:space="preserve">eventuali criteri di rilevazione; in particolare il DS ritiene che sia opportuno </w:t>
      </w:r>
      <w:r>
        <w:t>attivare focus group su libera adesione aperte alle diverse componenti della scuola allo scopo di  avviare un confronto</w:t>
      </w:r>
      <w:r w:rsidR="00801CA2">
        <w:t xml:space="preserve"> sulle scelte effe</w:t>
      </w:r>
      <w:r>
        <w:t>ttuate dal CdV.</w:t>
      </w:r>
    </w:p>
    <w:p w:rsidR="002518E8" w:rsidRDefault="002518E8">
      <w:pPr>
        <w:widowControl/>
        <w:suppressAutoHyphens w:val="0"/>
        <w:jc w:val="both"/>
      </w:pPr>
      <w:r>
        <w:t>Dopo ampia discussione si approvano all’unanimità i seguenti criteri:</w:t>
      </w:r>
    </w:p>
    <w:p w:rsidR="002518E8" w:rsidRDefault="002518E8">
      <w:pPr>
        <w:widowControl/>
        <w:suppressAutoHyphens w:val="0"/>
        <w:jc w:val="both"/>
      </w:pPr>
    </w:p>
    <w:p w:rsidR="00801CA2" w:rsidRDefault="00801CA2">
      <w:pPr>
        <w:widowControl/>
        <w:suppressAutoHyphens w:val="0"/>
        <w:jc w:val="both"/>
      </w:pPr>
    </w:p>
    <w:p w:rsidR="00801CA2" w:rsidRDefault="00801CA2">
      <w:pPr>
        <w:widowControl/>
        <w:suppressAutoHyphens w:val="0"/>
        <w:jc w:val="both"/>
      </w:pPr>
    </w:p>
    <w:tbl>
      <w:tblPr>
        <w:tblW w:w="0" w:type="auto"/>
        <w:tblInd w:w="-15" w:type="dxa"/>
        <w:tblLayout w:type="fixed"/>
        <w:tblLook w:val="0000"/>
      </w:tblPr>
      <w:tblGrid>
        <w:gridCol w:w="8472"/>
        <w:gridCol w:w="1336"/>
      </w:tblGrid>
      <w:tr w:rsidR="002518E8">
        <w:tc>
          <w:tcPr>
            <w:tcW w:w="8472" w:type="dxa"/>
            <w:tcBorders>
              <w:top w:val="single" w:sz="4" w:space="0" w:color="000000"/>
              <w:left w:val="single" w:sz="4" w:space="0" w:color="000000"/>
              <w:bottom w:val="single" w:sz="4" w:space="0" w:color="000000"/>
            </w:tcBorders>
            <w:shd w:val="clear" w:color="auto" w:fill="auto"/>
          </w:tcPr>
          <w:p w:rsidR="002518E8" w:rsidRDefault="002518E8">
            <w:pPr>
              <w:widowControl/>
              <w:suppressAutoHyphens w:val="0"/>
              <w:jc w:val="both"/>
              <w:rPr>
                <w:b/>
                <w:sz w:val="20"/>
                <w:szCs w:val="20"/>
              </w:rPr>
            </w:pPr>
            <w:r>
              <w:rPr>
                <w:b/>
                <w:sz w:val="20"/>
                <w:szCs w:val="20"/>
              </w:rPr>
              <w:lastRenderedPageBreak/>
              <w:t>INDICATORI</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2518E8" w:rsidRDefault="002518E8">
            <w:pPr>
              <w:widowControl/>
              <w:suppressAutoHyphens w:val="0"/>
              <w:jc w:val="both"/>
            </w:pPr>
            <w:r>
              <w:rPr>
                <w:b/>
                <w:sz w:val="20"/>
                <w:szCs w:val="20"/>
              </w:rPr>
              <w:t>PESATURA DEI CRITERI</w:t>
            </w:r>
          </w:p>
        </w:tc>
      </w:tr>
      <w:tr w:rsidR="002518E8">
        <w:trPr>
          <w:trHeight w:val="3049"/>
        </w:trPr>
        <w:tc>
          <w:tcPr>
            <w:tcW w:w="8472" w:type="dxa"/>
            <w:tcBorders>
              <w:top w:val="single" w:sz="4" w:space="0" w:color="000000"/>
              <w:left w:val="single" w:sz="4" w:space="0" w:color="000000"/>
              <w:bottom w:val="single" w:sz="4" w:space="0" w:color="000000"/>
            </w:tcBorders>
            <w:shd w:val="clear" w:color="auto" w:fill="auto"/>
          </w:tcPr>
          <w:p w:rsidR="002518E8" w:rsidRDefault="002518E8">
            <w:pPr>
              <w:jc w:val="both"/>
              <w:rPr>
                <w:color w:val="FF0000"/>
                <w:sz w:val="20"/>
                <w:szCs w:val="20"/>
              </w:rPr>
            </w:pPr>
            <w:r>
              <w:rPr>
                <w:b/>
                <w:sz w:val="20"/>
                <w:szCs w:val="20"/>
              </w:rPr>
              <w:t>AMBITO 3 - RESPONSABILITA’ ASSUNTE NEL COORDINAMENTO ORGANIZZATIVO E DIDATTICO E NELLA FORMAZIONE DEL PERSONALE</w:t>
            </w:r>
            <w:r>
              <w:rPr>
                <w:sz w:val="20"/>
                <w:szCs w:val="20"/>
              </w:rPr>
              <w:t xml:space="preserve"> </w:t>
            </w:r>
          </w:p>
          <w:p w:rsidR="002518E8" w:rsidRPr="00A134F2" w:rsidRDefault="002518E8" w:rsidP="00A134F2">
            <w:pPr>
              <w:tabs>
                <w:tab w:val="left" w:pos="0"/>
              </w:tabs>
              <w:jc w:val="both"/>
              <w:rPr>
                <w:sz w:val="20"/>
                <w:szCs w:val="20"/>
              </w:rPr>
            </w:pPr>
          </w:p>
          <w:p w:rsidR="002518E8" w:rsidRPr="00A134F2" w:rsidRDefault="002518E8" w:rsidP="00A134F2">
            <w:pPr>
              <w:widowControl/>
              <w:numPr>
                <w:ilvl w:val="0"/>
                <w:numId w:val="7"/>
              </w:numPr>
              <w:tabs>
                <w:tab w:val="clear" w:pos="720"/>
                <w:tab w:val="num" w:pos="724"/>
              </w:tabs>
              <w:suppressAutoHyphens w:val="0"/>
              <w:ind w:left="724" w:hanging="709"/>
              <w:jc w:val="both"/>
              <w:rPr>
                <w:sz w:val="20"/>
                <w:szCs w:val="20"/>
              </w:rPr>
            </w:pPr>
            <w:r w:rsidRPr="00A134F2">
              <w:rPr>
                <w:sz w:val="20"/>
                <w:szCs w:val="20"/>
              </w:rPr>
              <w:t xml:space="preserve">Responsabilità assunte al fine di valorizzare e favorire le  iniziative per  e degli studenti </w:t>
            </w:r>
          </w:p>
          <w:p w:rsidR="002518E8" w:rsidRPr="00A134F2" w:rsidRDefault="002518E8" w:rsidP="00A134F2">
            <w:pPr>
              <w:tabs>
                <w:tab w:val="num" w:pos="724"/>
              </w:tabs>
              <w:ind w:left="724" w:hanging="709"/>
              <w:jc w:val="both"/>
              <w:rPr>
                <w:sz w:val="20"/>
                <w:szCs w:val="20"/>
              </w:rPr>
            </w:pPr>
          </w:p>
          <w:p w:rsidR="002518E8" w:rsidRPr="00A134F2" w:rsidRDefault="002518E8" w:rsidP="00A134F2">
            <w:pPr>
              <w:widowControl/>
              <w:numPr>
                <w:ilvl w:val="0"/>
                <w:numId w:val="7"/>
              </w:numPr>
              <w:tabs>
                <w:tab w:val="clear" w:pos="720"/>
                <w:tab w:val="num" w:pos="724"/>
              </w:tabs>
              <w:suppressAutoHyphens w:val="0"/>
              <w:ind w:left="724" w:hanging="709"/>
              <w:jc w:val="both"/>
              <w:rPr>
                <w:sz w:val="20"/>
                <w:szCs w:val="20"/>
              </w:rPr>
            </w:pPr>
            <w:r w:rsidRPr="00A134F2">
              <w:rPr>
                <w:sz w:val="20"/>
                <w:szCs w:val="20"/>
              </w:rPr>
              <w:t>Contributo al miglioramento  del servizio scolastico anche sul piano organizzativo  in coerenza con il PM</w:t>
            </w:r>
          </w:p>
          <w:p w:rsidR="002518E8" w:rsidRPr="00A134F2" w:rsidRDefault="002518E8" w:rsidP="00A134F2">
            <w:pPr>
              <w:tabs>
                <w:tab w:val="num" w:pos="724"/>
              </w:tabs>
              <w:ind w:left="724" w:hanging="709"/>
              <w:jc w:val="both"/>
              <w:rPr>
                <w:sz w:val="20"/>
                <w:szCs w:val="20"/>
              </w:rPr>
            </w:pPr>
          </w:p>
          <w:p w:rsidR="002518E8" w:rsidRPr="00A134F2" w:rsidRDefault="002518E8" w:rsidP="00A134F2">
            <w:pPr>
              <w:widowControl/>
              <w:numPr>
                <w:ilvl w:val="0"/>
                <w:numId w:val="7"/>
              </w:numPr>
              <w:tabs>
                <w:tab w:val="clear" w:pos="720"/>
                <w:tab w:val="num" w:pos="724"/>
              </w:tabs>
              <w:suppressAutoHyphens w:val="0"/>
              <w:ind w:left="724" w:hanging="709"/>
              <w:jc w:val="both"/>
              <w:rPr>
                <w:sz w:val="20"/>
                <w:szCs w:val="20"/>
              </w:rPr>
            </w:pPr>
            <w:r w:rsidRPr="00A134F2">
              <w:rPr>
                <w:sz w:val="20"/>
                <w:szCs w:val="20"/>
              </w:rPr>
              <w:t>Disponibilità a rispondere alle necessità organizzative</w:t>
            </w:r>
          </w:p>
          <w:p w:rsidR="002518E8" w:rsidRPr="00A134F2" w:rsidRDefault="002518E8" w:rsidP="00A134F2">
            <w:pPr>
              <w:tabs>
                <w:tab w:val="num" w:pos="724"/>
              </w:tabs>
              <w:ind w:left="724" w:hanging="709"/>
              <w:jc w:val="both"/>
              <w:rPr>
                <w:sz w:val="20"/>
                <w:szCs w:val="20"/>
              </w:rPr>
            </w:pPr>
          </w:p>
          <w:p w:rsidR="002518E8" w:rsidRPr="00A134F2" w:rsidRDefault="002518E8" w:rsidP="00A134F2">
            <w:pPr>
              <w:widowControl/>
              <w:numPr>
                <w:ilvl w:val="0"/>
                <w:numId w:val="7"/>
              </w:numPr>
              <w:tabs>
                <w:tab w:val="clear" w:pos="720"/>
                <w:tab w:val="num" w:pos="724"/>
              </w:tabs>
              <w:suppressAutoHyphens w:val="0"/>
              <w:ind w:left="724" w:hanging="709"/>
              <w:jc w:val="both"/>
              <w:rPr>
                <w:sz w:val="20"/>
                <w:szCs w:val="20"/>
              </w:rPr>
            </w:pPr>
            <w:r w:rsidRPr="00A134F2">
              <w:rPr>
                <w:sz w:val="20"/>
                <w:szCs w:val="20"/>
              </w:rPr>
              <w:t>Partecipazione ad attività  di promozione  dell’istituto nel territorio</w:t>
            </w:r>
          </w:p>
          <w:p w:rsidR="002518E8" w:rsidRPr="00A134F2" w:rsidRDefault="002518E8" w:rsidP="00A134F2">
            <w:pPr>
              <w:tabs>
                <w:tab w:val="num" w:pos="724"/>
              </w:tabs>
              <w:ind w:left="724" w:hanging="709"/>
              <w:rPr>
                <w:sz w:val="20"/>
                <w:szCs w:val="20"/>
              </w:rPr>
            </w:pPr>
          </w:p>
          <w:p w:rsidR="002518E8" w:rsidRPr="00A134F2" w:rsidRDefault="002518E8" w:rsidP="00A134F2">
            <w:pPr>
              <w:widowControl/>
              <w:numPr>
                <w:ilvl w:val="0"/>
                <w:numId w:val="7"/>
              </w:numPr>
              <w:tabs>
                <w:tab w:val="clear" w:pos="720"/>
                <w:tab w:val="num" w:pos="724"/>
              </w:tabs>
              <w:suppressAutoHyphens w:val="0"/>
              <w:ind w:left="724" w:hanging="709"/>
              <w:rPr>
                <w:sz w:val="20"/>
                <w:szCs w:val="20"/>
              </w:rPr>
            </w:pPr>
            <w:r w:rsidRPr="00A134F2">
              <w:rPr>
                <w:sz w:val="20"/>
                <w:szCs w:val="20"/>
              </w:rPr>
              <w:t xml:space="preserve">Disponibilità all’assunzione  e all’adempimento dei compiti connessi a ruoli di  </w:t>
            </w:r>
          </w:p>
          <w:p w:rsidR="002518E8" w:rsidRPr="00A134F2" w:rsidRDefault="00A134F2" w:rsidP="00A134F2">
            <w:pPr>
              <w:widowControl/>
              <w:tabs>
                <w:tab w:val="num" w:pos="724"/>
              </w:tabs>
              <w:suppressAutoHyphens w:val="0"/>
              <w:ind w:left="724" w:hanging="709"/>
              <w:rPr>
                <w:sz w:val="20"/>
                <w:szCs w:val="20"/>
              </w:rPr>
            </w:pPr>
            <w:r>
              <w:rPr>
                <w:sz w:val="20"/>
                <w:szCs w:val="20"/>
              </w:rPr>
              <w:t xml:space="preserve">               </w:t>
            </w:r>
            <w:r w:rsidR="002518E8" w:rsidRPr="00A134F2">
              <w:rPr>
                <w:sz w:val="20"/>
                <w:szCs w:val="20"/>
              </w:rPr>
              <w:t>coordinamento  di CDC</w:t>
            </w:r>
          </w:p>
          <w:p w:rsidR="002518E8" w:rsidRPr="00A134F2" w:rsidRDefault="00A134F2" w:rsidP="00A134F2">
            <w:pPr>
              <w:widowControl/>
              <w:tabs>
                <w:tab w:val="num" w:pos="724"/>
              </w:tabs>
              <w:suppressAutoHyphens w:val="0"/>
              <w:ind w:left="724" w:hanging="709"/>
              <w:rPr>
                <w:sz w:val="20"/>
                <w:szCs w:val="20"/>
              </w:rPr>
            </w:pPr>
            <w:r>
              <w:rPr>
                <w:sz w:val="20"/>
                <w:szCs w:val="20"/>
              </w:rPr>
              <w:t xml:space="preserve">               </w:t>
            </w:r>
            <w:r w:rsidR="002518E8" w:rsidRPr="00A134F2">
              <w:rPr>
                <w:sz w:val="20"/>
                <w:szCs w:val="20"/>
              </w:rPr>
              <w:t>coordinamento. di Area</w:t>
            </w:r>
          </w:p>
          <w:p w:rsidR="002518E8" w:rsidRPr="00A134F2" w:rsidRDefault="002518E8" w:rsidP="00A134F2">
            <w:pPr>
              <w:tabs>
                <w:tab w:val="num" w:pos="724"/>
              </w:tabs>
              <w:ind w:left="724" w:hanging="709"/>
              <w:rPr>
                <w:sz w:val="20"/>
                <w:szCs w:val="20"/>
              </w:rPr>
            </w:pPr>
          </w:p>
          <w:p w:rsidR="002518E8" w:rsidRPr="00A134F2" w:rsidRDefault="002518E8" w:rsidP="00A134F2">
            <w:pPr>
              <w:widowControl/>
              <w:numPr>
                <w:ilvl w:val="0"/>
                <w:numId w:val="7"/>
              </w:numPr>
              <w:tabs>
                <w:tab w:val="clear" w:pos="720"/>
                <w:tab w:val="num" w:pos="724"/>
              </w:tabs>
              <w:suppressAutoHyphens w:val="0"/>
              <w:ind w:left="724" w:hanging="709"/>
              <w:rPr>
                <w:sz w:val="20"/>
                <w:szCs w:val="20"/>
              </w:rPr>
            </w:pPr>
            <w:r w:rsidRPr="00A134F2">
              <w:rPr>
                <w:sz w:val="20"/>
                <w:szCs w:val="20"/>
              </w:rPr>
              <w:t>Adempimento dei compiti connessi a ruoli di  animatore digitale  e di membro del team digitale di istituto</w:t>
            </w:r>
          </w:p>
          <w:p w:rsidR="002518E8" w:rsidRPr="00A134F2" w:rsidRDefault="002518E8" w:rsidP="00A134F2">
            <w:pPr>
              <w:tabs>
                <w:tab w:val="num" w:pos="724"/>
              </w:tabs>
              <w:ind w:left="724" w:hanging="709"/>
              <w:rPr>
                <w:sz w:val="20"/>
                <w:szCs w:val="20"/>
              </w:rPr>
            </w:pPr>
          </w:p>
          <w:p w:rsidR="002518E8" w:rsidRPr="00A134F2" w:rsidRDefault="002518E8" w:rsidP="00A134F2">
            <w:pPr>
              <w:widowControl/>
              <w:numPr>
                <w:ilvl w:val="0"/>
                <w:numId w:val="7"/>
              </w:numPr>
              <w:tabs>
                <w:tab w:val="clear" w:pos="720"/>
                <w:tab w:val="num" w:pos="724"/>
              </w:tabs>
              <w:suppressAutoHyphens w:val="0"/>
              <w:ind w:left="724" w:hanging="709"/>
              <w:rPr>
                <w:sz w:val="20"/>
                <w:szCs w:val="20"/>
              </w:rPr>
            </w:pPr>
            <w:r w:rsidRPr="00A134F2">
              <w:rPr>
                <w:sz w:val="20"/>
                <w:szCs w:val="20"/>
              </w:rPr>
              <w:t xml:space="preserve">Assunzione  e adempimento dei compiti connessi alla sicurezza in istituto  </w:t>
            </w:r>
          </w:p>
          <w:p w:rsidR="002518E8" w:rsidRPr="00A134F2" w:rsidRDefault="002518E8" w:rsidP="00A134F2">
            <w:pPr>
              <w:tabs>
                <w:tab w:val="num" w:pos="724"/>
              </w:tabs>
              <w:ind w:left="724" w:hanging="709"/>
              <w:rPr>
                <w:sz w:val="20"/>
                <w:szCs w:val="20"/>
              </w:rPr>
            </w:pPr>
          </w:p>
          <w:p w:rsidR="002518E8" w:rsidRPr="00A134F2" w:rsidRDefault="002518E8" w:rsidP="00A134F2">
            <w:pPr>
              <w:widowControl/>
              <w:numPr>
                <w:ilvl w:val="0"/>
                <w:numId w:val="7"/>
              </w:numPr>
              <w:tabs>
                <w:tab w:val="clear" w:pos="720"/>
                <w:tab w:val="num" w:pos="724"/>
              </w:tabs>
              <w:suppressAutoHyphens w:val="0"/>
              <w:ind w:left="724" w:hanging="709"/>
              <w:rPr>
                <w:sz w:val="20"/>
                <w:szCs w:val="20"/>
              </w:rPr>
            </w:pPr>
            <w:r w:rsidRPr="00A134F2">
              <w:rPr>
                <w:sz w:val="20"/>
                <w:szCs w:val="20"/>
              </w:rPr>
              <w:t xml:space="preserve">Assunzione e  adempimento dei compiti connessi a ruoli di tutor dei docenti neoimmessi in ruolo  </w:t>
            </w:r>
          </w:p>
          <w:p w:rsidR="002518E8" w:rsidRPr="00A134F2" w:rsidRDefault="002518E8" w:rsidP="00A134F2">
            <w:pPr>
              <w:tabs>
                <w:tab w:val="num" w:pos="724"/>
              </w:tabs>
              <w:ind w:left="724" w:hanging="709"/>
              <w:rPr>
                <w:sz w:val="20"/>
                <w:szCs w:val="20"/>
              </w:rPr>
            </w:pPr>
          </w:p>
          <w:p w:rsidR="002518E8" w:rsidRPr="00A134F2" w:rsidRDefault="002518E8" w:rsidP="00A134F2">
            <w:pPr>
              <w:widowControl/>
              <w:numPr>
                <w:ilvl w:val="0"/>
                <w:numId w:val="7"/>
              </w:numPr>
              <w:tabs>
                <w:tab w:val="clear" w:pos="720"/>
                <w:tab w:val="num" w:pos="724"/>
              </w:tabs>
              <w:suppressAutoHyphens w:val="0"/>
              <w:ind w:left="724" w:hanging="709"/>
              <w:rPr>
                <w:sz w:val="20"/>
                <w:szCs w:val="20"/>
              </w:rPr>
            </w:pPr>
            <w:r w:rsidRPr="00A134F2">
              <w:rPr>
                <w:sz w:val="20"/>
                <w:szCs w:val="20"/>
              </w:rPr>
              <w:t xml:space="preserve">Partecipazione individuale a corsi di formazione  coerenti con il PTOF e il PM  </w:t>
            </w:r>
          </w:p>
          <w:p w:rsidR="002518E8" w:rsidRPr="00A134F2" w:rsidRDefault="002518E8" w:rsidP="00A134F2">
            <w:pPr>
              <w:widowControl/>
              <w:tabs>
                <w:tab w:val="num" w:pos="724"/>
              </w:tabs>
              <w:suppressAutoHyphens w:val="0"/>
              <w:ind w:left="724" w:hanging="709"/>
              <w:rPr>
                <w:sz w:val="20"/>
                <w:szCs w:val="20"/>
              </w:rPr>
            </w:pPr>
          </w:p>
          <w:p w:rsidR="002518E8" w:rsidRPr="00A134F2" w:rsidRDefault="002518E8" w:rsidP="00A134F2">
            <w:pPr>
              <w:widowControl/>
              <w:numPr>
                <w:ilvl w:val="0"/>
                <w:numId w:val="7"/>
              </w:numPr>
              <w:tabs>
                <w:tab w:val="clear" w:pos="720"/>
                <w:tab w:val="num" w:pos="724"/>
              </w:tabs>
              <w:suppressAutoHyphens w:val="0"/>
              <w:ind w:left="724" w:hanging="709"/>
              <w:jc w:val="both"/>
              <w:rPr>
                <w:sz w:val="20"/>
                <w:szCs w:val="20"/>
              </w:rPr>
            </w:pPr>
            <w:r w:rsidRPr="00A134F2">
              <w:rPr>
                <w:sz w:val="20"/>
                <w:szCs w:val="20"/>
              </w:rPr>
              <w:t>Documentazione e diffusione – predisposizione di banche dati, di esperienze</w:t>
            </w:r>
          </w:p>
          <w:p w:rsidR="002518E8" w:rsidRDefault="002518E8">
            <w:pPr>
              <w:ind w:left="709" w:hanging="709"/>
              <w:rPr>
                <w:sz w:val="20"/>
                <w:szCs w:val="20"/>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2518E8" w:rsidRDefault="002518E8">
            <w:pPr>
              <w:snapToGrid w:val="0"/>
              <w:jc w:val="both"/>
              <w:rPr>
                <w:sz w:val="20"/>
                <w:szCs w:val="20"/>
              </w:rPr>
            </w:pPr>
          </w:p>
          <w:p w:rsidR="002518E8" w:rsidRDefault="002518E8">
            <w:pPr>
              <w:ind w:left="360"/>
              <w:jc w:val="both"/>
              <w:rPr>
                <w:b/>
                <w:sz w:val="20"/>
                <w:szCs w:val="20"/>
              </w:rPr>
            </w:pPr>
          </w:p>
          <w:p w:rsidR="002518E8" w:rsidRDefault="002518E8">
            <w:pPr>
              <w:ind w:left="360"/>
              <w:jc w:val="both"/>
              <w:rPr>
                <w:b/>
                <w:sz w:val="20"/>
                <w:szCs w:val="20"/>
              </w:rPr>
            </w:pPr>
          </w:p>
          <w:p w:rsidR="002518E8" w:rsidRDefault="002518E8">
            <w:pPr>
              <w:ind w:left="360"/>
              <w:jc w:val="both"/>
              <w:rPr>
                <w:b/>
                <w:sz w:val="20"/>
                <w:szCs w:val="20"/>
              </w:rPr>
            </w:pPr>
            <w:r>
              <w:rPr>
                <w:b/>
                <w:sz w:val="20"/>
                <w:szCs w:val="20"/>
              </w:rPr>
              <w:t>2</w:t>
            </w:r>
          </w:p>
          <w:p w:rsidR="002518E8" w:rsidRDefault="002518E8">
            <w:pPr>
              <w:ind w:left="360"/>
              <w:jc w:val="both"/>
              <w:rPr>
                <w:b/>
                <w:sz w:val="20"/>
                <w:szCs w:val="20"/>
              </w:rPr>
            </w:pPr>
          </w:p>
          <w:p w:rsidR="002518E8" w:rsidRDefault="002518E8">
            <w:pPr>
              <w:ind w:left="360"/>
              <w:jc w:val="both"/>
              <w:rPr>
                <w:b/>
                <w:sz w:val="20"/>
                <w:szCs w:val="20"/>
              </w:rPr>
            </w:pPr>
            <w:r>
              <w:rPr>
                <w:b/>
                <w:sz w:val="20"/>
                <w:szCs w:val="20"/>
              </w:rPr>
              <w:t>3</w:t>
            </w:r>
          </w:p>
          <w:p w:rsidR="002518E8" w:rsidRDefault="002518E8">
            <w:pPr>
              <w:jc w:val="both"/>
              <w:rPr>
                <w:b/>
                <w:sz w:val="20"/>
                <w:szCs w:val="20"/>
              </w:rPr>
            </w:pPr>
          </w:p>
          <w:p w:rsidR="002518E8" w:rsidRDefault="002518E8">
            <w:pPr>
              <w:ind w:left="360"/>
              <w:jc w:val="both"/>
              <w:rPr>
                <w:b/>
                <w:sz w:val="20"/>
                <w:szCs w:val="20"/>
              </w:rPr>
            </w:pPr>
          </w:p>
          <w:p w:rsidR="002518E8" w:rsidRDefault="002518E8">
            <w:pPr>
              <w:ind w:left="360"/>
              <w:jc w:val="both"/>
              <w:rPr>
                <w:b/>
                <w:sz w:val="20"/>
                <w:szCs w:val="20"/>
              </w:rPr>
            </w:pPr>
            <w:r>
              <w:rPr>
                <w:b/>
                <w:sz w:val="20"/>
                <w:szCs w:val="20"/>
              </w:rPr>
              <w:t>5</w:t>
            </w:r>
          </w:p>
          <w:p w:rsidR="002518E8" w:rsidRDefault="002518E8">
            <w:pPr>
              <w:jc w:val="both"/>
              <w:rPr>
                <w:b/>
                <w:sz w:val="20"/>
                <w:szCs w:val="20"/>
              </w:rPr>
            </w:pPr>
          </w:p>
          <w:p w:rsidR="002518E8" w:rsidRDefault="002518E8">
            <w:pPr>
              <w:ind w:left="360"/>
              <w:jc w:val="both"/>
              <w:rPr>
                <w:b/>
                <w:sz w:val="20"/>
                <w:szCs w:val="20"/>
              </w:rPr>
            </w:pPr>
            <w:r>
              <w:rPr>
                <w:b/>
                <w:sz w:val="20"/>
                <w:szCs w:val="20"/>
              </w:rPr>
              <w:t>4</w:t>
            </w:r>
          </w:p>
          <w:p w:rsidR="002518E8" w:rsidRDefault="002518E8">
            <w:pPr>
              <w:jc w:val="both"/>
              <w:rPr>
                <w:b/>
                <w:sz w:val="20"/>
                <w:szCs w:val="20"/>
              </w:rPr>
            </w:pPr>
          </w:p>
          <w:p w:rsidR="00A134F2" w:rsidRDefault="00A134F2">
            <w:pPr>
              <w:ind w:left="360"/>
              <w:jc w:val="both"/>
              <w:rPr>
                <w:b/>
                <w:sz w:val="20"/>
                <w:szCs w:val="20"/>
              </w:rPr>
            </w:pPr>
          </w:p>
          <w:p w:rsidR="002518E8" w:rsidRDefault="002518E8">
            <w:pPr>
              <w:ind w:left="360"/>
              <w:jc w:val="both"/>
              <w:rPr>
                <w:b/>
                <w:sz w:val="20"/>
                <w:szCs w:val="20"/>
              </w:rPr>
            </w:pPr>
            <w:r>
              <w:rPr>
                <w:b/>
                <w:sz w:val="20"/>
                <w:szCs w:val="20"/>
              </w:rPr>
              <w:t>2</w:t>
            </w:r>
          </w:p>
          <w:p w:rsidR="002518E8" w:rsidRDefault="00A134F2">
            <w:pPr>
              <w:rPr>
                <w:b/>
                <w:sz w:val="20"/>
                <w:szCs w:val="20"/>
              </w:rPr>
            </w:pPr>
            <w:r>
              <w:rPr>
                <w:b/>
                <w:sz w:val="20"/>
                <w:szCs w:val="20"/>
              </w:rPr>
              <w:t xml:space="preserve">        </w:t>
            </w:r>
            <w:r w:rsidR="002518E8">
              <w:rPr>
                <w:b/>
                <w:sz w:val="20"/>
                <w:szCs w:val="20"/>
              </w:rPr>
              <w:t>3</w:t>
            </w:r>
          </w:p>
          <w:p w:rsidR="002518E8" w:rsidRDefault="002518E8">
            <w:pPr>
              <w:ind w:left="360"/>
              <w:jc w:val="both"/>
              <w:rPr>
                <w:b/>
                <w:sz w:val="20"/>
                <w:szCs w:val="20"/>
              </w:rPr>
            </w:pPr>
          </w:p>
          <w:p w:rsidR="002518E8" w:rsidRDefault="002518E8">
            <w:pPr>
              <w:jc w:val="both"/>
              <w:rPr>
                <w:b/>
                <w:sz w:val="20"/>
                <w:szCs w:val="20"/>
              </w:rPr>
            </w:pPr>
          </w:p>
          <w:p w:rsidR="002518E8" w:rsidRDefault="002518E8">
            <w:pPr>
              <w:ind w:left="360"/>
              <w:jc w:val="both"/>
              <w:rPr>
                <w:b/>
                <w:sz w:val="20"/>
                <w:szCs w:val="20"/>
              </w:rPr>
            </w:pPr>
            <w:r>
              <w:rPr>
                <w:b/>
                <w:sz w:val="20"/>
                <w:szCs w:val="20"/>
              </w:rPr>
              <w:t>4</w:t>
            </w:r>
          </w:p>
          <w:p w:rsidR="002518E8" w:rsidRDefault="002518E8">
            <w:pPr>
              <w:ind w:left="360"/>
              <w:jc w:val="both"/>
              <w:rPr>
                <w:b/>
                <w:sz w:val="20"/>
                <w:szCs w:val="20"/>
              </w:rPr>
            </w:pPr>
          </w:p>
          <w:p w:rsidR="002518E8" w:rsidRDefault="002518E8">
            <w:pPr>
              <w:ind w:left="360"/>
              <w:jc w:val="both"/>
              <w:rPr>
                <w:b/>
                <w:sz w:val="20"/>
                <w:szCs w:val="20"/>
              </w:rPr>
            </w:pPr>
          </w:p>
          <w:p w:rsidR="002518E8" w:rsidRDefault="002518E8">
            <w:pPr>
              <w:ind w:left="360"/>
              <w:jc w:val="both"/>
              <w:rPr>
                <w:b/>
                <w:sz w:val="20"/>
                <w:szCs w:val="20"/>
              </w:rPr>
            </w:pPr>
            <w:r>
              <w:rPr>
                <w:b/>
                <w:sz w:val="20"/>
                <w:szCs w:val="20"/>
              </w:rPr>
              <w:t>4</w:t>
            </w:r>
          </w:p>
          <w:p w:rsidR="002518E8" w:rsidRDefault="002518E8">
            <w:pPr>
              <w:jc w:val="both"/>
              <w:rPr>
                <w:b/>
                <w:sz w:val="20"/>
                <w:szCs w:val="20"/>
              </w:rPr>
            </w:pPr>
          </w:p>
          <w:p w:rsidR="002518E8" w:rsidRDefault="002518E8">
            <w:pPr>
              <w:ind w:left="360"/>
              <w:jc w:val="both"/>
              <w:rPr>
                <w:b/>
                <w:sz w:val="20"/>
                <w:szCs w:val="20"/>
              </w:rPr>
            </w:pPr>
            <w:r>
              <w:rPr>
                <w:b/>
                <w:sz w:val="20"/>
                <w:szCs w:val="20"/>
              </w:rPr>
              <w:t>3</w:t>
            </w:r>
          </w:p>
          <w:p w:rsidR="002518E8" w:rsidRDefault="002518E8">
            <w:pPr>
              <w:jc w:val="both"/>
              <w:rPr>
                <w:b/>
                <w:sz w:val="20"/>
                <w:szCs w:val="20"/>
              </w:rPr>
            </w:pPr>
          </w:p>
          <w:p w:rsidR="002518E8" w:rsidRDefault="002518E8">
            <w:pPr>
              <w:jc w:val="both"/>
              <w:rPr>
                <w:b/>
                <w:sz w:val="20"/>
                <w:szCs w:val="20"/>
              </w:rPr>
            </w:pPr>
          </w:p>
          <w:p w:rsidR="002518E8" w:rsidRDefault="002518E8">
            <w:pPr>
              <w:ind w:left="360"/>
              <w:jc w:val="both"/>
              <w:rPr>
                <w:b/>
                <w:bCs/>
                <w:sz w:val="20"/>
                <w:szCs w:val="20"/>
              </w:rPr>
            </w:pPr>
            <w:r>
              <w:rPr>
                <w:b/>
                <w:sz w:val="20"/>
                <w:szCs w:val="20"/>
              </w:rPr>
              <w:t>4</w:t>
            </w:r>
          </w:p>
          <w:p w:rsidR="002518E8" w:rsidRDefault="002518E8">
            <w:pPr>
              <w:jc w:val="both"/>
              <w:rPr>
                <w:b/>
                <w:bCs/>
                <w:sz w:val="20"/>
                <w:szCs w:val="20"/>
              </w:rPr>
            </w:pPr>
          </w:p>
          <w:p w:rsidR="002518E8" w:rsidRDefault="002518E8">
            <w:pPr>
              <w:jc w:val="both"/>
            </w:pPr>
            <w:r>
              <w:rPr>
                <w:b/>
                <w:bCs/>
                <w:sz w:val="20"/>
                <w:szCs w:val="20"/>
              </w:rPr>
              <w:t xml:space="preserve">        4</w:t>
            </w:r>
          </w:p>
        </w:tc>
      </w:tr>
    </w:tbl>
    <w:p w:rsidR="002518E8" w:rsidRDefault="002518E8">
      <w:pPr>
        <w:widowControl/>
        <w:suppressAutoHyphens w:val="0"/>
        <w:jc w:val="both"/>
      </w:pPr>
    </w:p>
    <w:p w:rsidR="002518E8" w:rsidRDefault="00757194">
      <w:pPr>
        <w:widowControl/>
        <w:suppressAutoHyphens w:val="0"/>
        <w:jc w:val="both"/>
      </w:pPr>
      <w:r>
        <w:t>Il documento relativo ai criteri</w:t>
      </w:r>
      <w:r w:rsidR="008C75B4">
        <w:t xml:space="preserve"> nella loro globalità</w:t>
      </w:r>
      <w:r w:rsidR="00D20FFC">
        <w:t xml:space="preserve"> v</w:t>
      </w:r>
      <w:r w:rsidR="008C75B4">
        <w:t>iene</w:t>
      </w:r>
      <w:r w:rsidR="00D20FFC">
        <w:t xml:space="preserve"> </w:t>
      </w:r>
      <w:r w:rsidR="008C75B4">
        <w:t>approvato</w:t>
      </w:r>
      <w:r w:rsidR="00D20FFC">
        <w:t xml:space="preserve"> all’unanimità.</w:t>
      </w:r>
    </w:p>
    <w:p w:rsidR="002518E8" w:rsidRDefault="002518E8">
      <w:pPr>
        <w:widowControl/>
        <w:suppressAutoHyphens w:val="0"/>
        <w:jc w:val="both"/>
      </w:pPr>
    </w:p>
    <w:p w:rsidR="002518E8" w:rsidRDefault="002518E8">
      <w:pPr>
        <w:widowControl/>
        <w:suppressAutoHyphens w:val="0"/>
        <w:jc w:val="both"/>
      </w:pPr>
      <w:r>
        <w:t>Il Dirigente propone quale quota massima di docenti che potranno rientrare nell’ambito della</w:t>
      </w:r>
      <w:r w:rsidR="00D20FFC">
        <w:t xml:space="preserve"> premialità </w:t>
      </w:r>
      <w:r>
        <w:t>una percentual</w:t>
      </w:r>
      <w:r w:rsidR="00A134F2">
        <w:t>e intorno al 30%;</w:t>
      </w:r>
      <w:r>
        <w:t xml:space="preserve"> il comitato</w:t>
      </w:r>
      <w:r w:rsidR="00D20FFC">
        <w:t xml:space="preserve"> rileva che non sia di competenza del comitato stesso la definizione di tale quota e comunque la ritiene accettabile</w:t>
      </w:r>
      <w:r>
        <w:t>.</w:t>
      </w:r>
    </w:p>
    <w:p w:rsidR="002518E8" w:rsidRDefault="002518E8">
      <w:pPr>
        <w:widowControl/>
        <w:suppressAutoHyphens w:val="0"/>
        <w:jc w:val="both"/>
      </w:pPr>
    </w:p>
    <w:p w:rsidR="002518E8" w:rsidRDefault="002518E8">
      <w:pPr>
        <w:widowControl/>
        <w:suppressAutoHyphens w:val="0"/>
        <w:jc w:val="both"/>
      </w:pPr>
      <w:r>
        <w:t>La seduta si chiude alle ore 17.30.</w:t>
      </w:r>
    </w:p>
    <w:p w:rsidR="002518E8" w:rsidRDefault="002518E8">
      <w:pPr>
        <w:widowControl/>
        <w:suppressAutoHyphens w:val="0"/>
        <w:jc w:val="both"/>
      </w:pPr>
    </w:p>
    <w:p w:rsidR="002518E8" w:rsidRDefault="002518E8">
      <w:pPr>
        <w:widowControl/>
        <w:suppressAutoHyphens w:val="0"/>
        <w:jc w:val="both"/>
      </w:pPr>
      <w:r>
        <w:t>Si allega il format del questionario, nella sua formulazione integrale,  con indicatori e relativi pesi.</w:t>
      </w:r>
    </w:p>
    <w:p w:rsidR="002518E8" w:rsidRDefault="002518E8">
      <w:pPr>
        <w:widowControl/>
        <w:suppressAutoHyphens w:val="0"/>
        <w:jc w:val="both"/>
      </w:pPr>
    </w:p>
    <w:p w:rsidR="002518E8" w:rsidRDefault="002518E8">
      <w:pPr>
        <w:widowControl/>
        <w:suppressAutoHyphens w:val="0"/>
        <w:jc w:val="both"/>
      </w:pPr>
    </w:p>
    <w:p w:rsidR="00757194" w:rsidRDefault="002518E8">
      <w:pPr>
        <w:widowControl/>
        <w:suppressAutoHyphens w:val="0"/>
        <w:jc w:val="both"/>
      </w:pPr>
      <w:r>
        <w:tab/>
        <w:t>Il verbalizzatore</w:t>
      </w:r>
      <w:r w:rsidR="00757194">
        <w:t xml:space="preserve">                                                                             Il presidente</w:t>
      </w:r>
    </w:p>
    <w:p w:rsidR="002518E8" w:rsidRDefault="00757194">
      <w:pPr>
        <w:widowControl/>
        <w:suppressAutoHyphens w:val="0"/>
        <w:jc w:val="both"/>
      </w:pPr>
      <w:r>
        <w:t xml:space="preserve">    </w:t>
      </w:r>
      <w:r w:rsidR="002518E8">
        <w:t>Prof.ssa Nadia Colombo</w:t>
      </w:r>
      <w:r>
        <w:t xml:space="preserve">                                                           Dirigente Prof.ssa Cristina Boracchi</w:t>
      </w:r>
    </w:p>
    <w:sectPr w:rsidR="002518E8">
      <w:footerReference w:type="default" r:id="rId13"/>
      <w:pgSz w:w="11906" w:h="16838"/>
      <w:pgMar w:top="1134"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152" w:rsidRDefault="00C67152">
      <w:r>
        <w:separator/>
      </w:r>
    </w:p>
  </w:endnote>
  <w:endnote w:type="continuationSeparator" w:id="0">
    <w:p w:rsidR="00C67152" w:rsidRDefault="00C671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C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8E8" w:rsidRDefault="002518E8">
    <w:pPr>
      <w:pStyle w:val="Pidipagina"/>
      <w:ind w:right="360"/>
    </w:pPr>
    <w:r>
      <w:pict>
        <v:shapetype id="_x0000_t202" coordsize="21600,21600" o:spt="202" path="m,l,21600r21600,l21600,xe">
          <v:stroke joinstyle="miter"/>
          <v:path gradientshapeok="t" o:connecttype="rect"/>
        </v:shapetype>
        <v:shape id="_x0000_s1025" type="#_x0000_t202" style="position:absolute;margin-left:532.55pt;margin-top:.05pt;width:20.9pt;height:13.65pt;z-index:251657728;mso-wrap-distance-left:0;mso-wrap-distance-right:0;mso-position-horizontal-relative:page" stroked="f">
          <v:fill opacity="0" color2="black"/>
          <v:textbox inset="0,0,0,0">
            <w:txbxContent>
              <w:p w:rsidR="002518E8" w:rsidRDefault="002518E8">
                <w:pPr>
                  <w:pStyle w:val="Pidipagina"/>
                </w:pPr>
                <w:r>
                  <w:rPr>
                    <w:rStyle w:val="Numeropagina"/>
                  </w:rPr>
                  <w:fldChar w:fldCharType="begin"/>
                </w:r>
                <w:r>
                  <w:rPr>
                    <w:rStyle w:val="Numeropagina"/>
                  </w:rPr>
                  <w:instrText xml:space="preserve"> PAGE </w:instrText>
                </w:r>
                <w:r>
                  <w:rPr>
                    <w:rStyle w:val="Numeropagina"/>
                  </w:rPr>
                  <w:fldChar w:fldCharType="separate"/>
                </w:r>
                <w:r w:rsidR="00801CA2">
                  <w:rPr>
                    <w:rStyle w:val="Numeropagina"/>
                    <w:noProof/>
                  </w:rPr>
                  <w:t>5</w:t>
                </w:r>
                <w:r>
                  <w:rPr>
                    <w:rStyle w:val="Numeropa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152" w:rsidRDefault="00C67152">
      <w:r>
        <w:separator/>
      </w:r>
    </w:p>
  </w:footnote>
  <w:footnote w:type="continuationSeparator" w:id="0">
    <w:p w:rsidR="00C67152" w:rsidRDefault="00C671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080" w:hanging="360"/>
      </w:pPr>
      <w:rPr>
        <w:rFonts w:ascii="Symbol" w:hAnsi="Symbol" w:cs="Symbol" w:hint="default"/>
        <w:sz w:val="20"/>
        <w:szCs w:val="20"/>
      </w:rPr>
    </w:lvl>
  </w:abstractNum>
  <w:abstractNum w:abstractNumId="1">
    <w:nsid w:val="00000002"/>
    <w:multiLevelType w:val="singleLevel"/>
    <w:tmpl w:val="00000002"/>
    <w:name w:val="WW8Num2"/>
    <w:lvl w:ilvl="0">
      <w:start w:val="1"/>
      <w:numFmt w:val="bullet"/>
      <w:lvlText w:val=""/>
      <w:lvlJc w:val="left"/>
      <w:pPr>
        <w:tabs>
          <w:tab w:val="num" w:pos="530"/>
        </w:tabs>
        <w:ind w:left="530" w:hanging="360"/>
      </w:pPr>
      <w:rPr>
        <w:rFonts w:ascii="Symbol" w:hAnsi="Symbol" w:cs="Symbol" w:hint="default"/>
      </w:rPr>
    </w:lvl>
  </w:abstractNum>
  <w:abstractNum w:abstractNumId="2">
    <w:nsid w:val="00000003"/>
    <w:multiLevelType w:val="singleLevel"/>
    <w:tmpl w:val="00000003"/>
    <w:name w:val="WW8Num3"/>
    <w:lvl w:ilvl="0">
      <w:start w:val="1"/>
      <w:numFmt w:val="lowerLetter"/>
      <w:lvlText w:val="%1)"/>
      <w:lvlJc w:val="left"/>
      <w:pPr>
        <w:tabs>
          <w:tab w:val="num" w:pos="0"/>
        </w:tabs>
        <w:ind w:left="1440" w:hanging="360"/>
      </w:pPr>
      <w:rPr>
        <w:rFonts w:cs="Times New Roman" w:hint="default"/>
        <w:sz w:val="20"/>
        <w:szCs w:val="20"/>
      </w:rPr>
    </w:lvl>
  </w:abstractNum>
  <w:abstractNum w:abstractNumId="3">
    <w:nsid w:val="00000004"/>
    <w:multiLevelType w:val="singleLevel"/>
    <w:tmpl w:val="00000004"/>
    <w:name w:val="WW8Num4"/>
    <w:lvl w:ilvl="0">
      <w:start w:val="1"/>
      <w:numFmt w:val="lowerLetter"/>
      <w:lvlText w:val="%1)"/>
      <w:lvlJc w:val="left"/>
      <w:pPr>
        <w:tabs>
          <w:tab w:val="num" w:pos="709"/>
        </w:tabs>
        <w:ind w:left="1440" w:hanging="360"/>
      </w:pPr>
      <w:rPr>
        <w:rFonts w:ascii="Wingdings" w:hAnsi="Wingdings" w:cs="Wingdings" w:hint="default"/>
        <w:b/>
        <w:sz w:val="20"/>
        <w:szCs w:val="20"/>
      </w:rPr>
    </w:lvl>
  </w:abstractNum>
  <w:abstractNum w:abstractNumId="4">
    <w:nsid w:val="00000005"/>
    <w:multiLevelType w:val="singleLevel"/>
    <w:tmpl w:val="00000005"/>
    <w:name w:val="WW8Num5"/>
    <w:lvl w:ilvl="0">
      <w:start w:val="1"/>
      <w:numFmt w:val="lowerLetter"/>
      <w:lvlText w:val="%1)"/>
      <w:lvlJc w:val="left"/>
      <w:pPr>
        <w:tabs>
          <w:tab w:val="num" w:pos="0"/>
        </w:tabs>
        <w:ind w:left="1353" w:hanging="360"/>
      </w:pPr>
      <w:rPr>
        <w:rFonts w:cs="Times New Roman" w:hint="default"/>
        <w:b/>
      </w:rPr>
    </w:lvl>
  </w:abstractNum>
  <w:abstractNum w:abstractNumId="5">
    <w:nsid w:val="00000006"/>
    <w:multiLevelType w:val="multilevel"/>
    <w:tmpl w:val="00000006"/>
    <w:name w:val="WW8Num6"/>
    <w:lvl w:ilvl="0">
      <w:start w:val="1"/>
      <w:numFmt w:val="lowerLetter"/>
      <w:lvlText w:val="%1)"/>
      <w:lvlJc w:val="left"/>
      <w:pPr>
        <w:tabs>
          <w:tab w:val="num" w:pos="720"/>
        </w:tabs>
        <w:ind w:left="720" w:hanging="360"/>
      </w:pPr>
      <w:rPr>
        <w:rFonts w:cs="Times New Roman" w:hint="default"/>
        <w:b/>
        <w:sz w:val="20"/>
        <w:szCs w:val="20"/>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07"/>
    <w:multiLevelType w:val="multilevel"/>
    <w:tmpl w:val="0000000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2E5364C9"/>
    <w:multiLevelType w:val="hybridMultilevel"/>
    <w:tmpl w:val="87CC013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C55679"/>
    <w:rsid w:val="002518E8"/>
    <w:rsid w:val="006D7676"/>
    <w:rsid w:val="00757194"/>
    <w:rsid w:val="00801CA2"/>
    <w:rsid w:val="008C75B4"/>
    <w:rsid w:val="00A134F2"/>
    <w:rsid w:val="00C21C52"/>
    <w:rsid w:val="00C55679"/>
    <w:rsid w:val="00C67152"/>
    <w:rsid w:val="00D20F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sz w:val="20"/>
      <w:szCs w:val="20"/>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sz w:val="20"/>
      <w:szCs w:val="20"/>
    </w:rPr>
  </w:style>
  <w:style w:type="character" w:customStyle="1" w:styleId="WW8Num4z0">
    <w:name w:val="WW8Num4z0"/>
    <w:rPr>
      <w:rFonts w:ascii="Wingdings" w:hAnsi="Wingdings" w:cs="Wingdings" w:hint="default"/>
      <w:b/>
      <w:sz w:val="20"/>
      <w:szCs w:val="20"/>
    </w:rPr>
  </w:style>
  <w:style w:type="character" w:customStyle="1" w:styleId="WW8Num5z0">
    <w:name w:val="WW8Num5z0"/>
    <w:rPr>
      <w:rFonts w:cs="Times New Roman" w:hint="default"/>
      <w:b/>
    </w:rPr>
  </w:style>
  <w:style w:type="character" w:customStyle="1" w:styleId="WW8Num6z0">
    <w:name w:val="WW8Num6z0"/>
    <w:rPr>
      <w:rFonts w:cs="Times New Roman" w:hint="default"/>
      <w:b/>
      <w:sz w:val="20"/>
      <w:szCs w:val="20"/>
    </w:rPr>
  </w:style>
  <w:style w:type="character" w:customStyle="1" w:styleId="WW8Num6z1">
    <w:name w:val="WW8Num6z1"/>
    <w:rPr>
      <w:rFonts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hint="default"/>
      <w:color w:val="FF0000"/>
    </w:rPr>
  </w:style>
  <w:style w:type="character" w:customStyle="1" w:styleId="WW8Num7z1">
    <w:name w:val="WW8Num7z1"/>
    <w:rPr>
      <w:rFonts w:ascii="Courier New" w:hAnsi="Courier New" w:cs="Courier New" w:hint="default"/>
    </w:rPr>
  </w:style>
  <w:style w:type="character" w:customStyle="1" w:styleId="WW8Num7z2">
    <w:name w:val="WW8Num7z2"/>
  </w:style>
  <w:style w:type="character" w:customStyle="1" w:styleId="WW8Num7z3">
    <w:name w:val="WW8Num7z3"/>
    <w:rPr>
      <w:rFonts w:ascii="Symbol" w:hAnsi="Symbol" w:cs="Symbol" w:hint="default"/>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hint="default"/>
    </w:rPr>
  </w:style>
  <w:style w:type="character" w:customStyle="1" w:styleId="WW8Num8z1">
    <w:name w:val="WW8Num8z1"/>
    <w:rPr>
      <w:rFonts w:cs="Times New Roman"/>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cs="Times New Roman"/>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1">
    <w:name w:val="WW8Num5z1"/>
    <w:rPr>
      <w:rFonts w:cs="Times New Roman"/>
    </w:rPr>
  </w:style>
  <w:style w:type="character" w:customStyle="1" w:styleId="WW8Num9z0">
    <w:name w:val="WW8Num9z0"/>
    <w:rPr>
      <w:rFonts w:cs="Times New Roman" w:hint="default"/>
      <w:sz w:val="20"/>
      <w:szCs w:val="20"/>
    </w:rPr>
  </w:style>
  <w:style w:type="character" w:customStyle="1" w:styleId="WW8Num9z1">
    <w:name w:val="WW8Num9z1"/>
    <w:rPr>
      <w:rFonts w:cs="Times New Roman"/>
    </w:rPr>
  </w:style>
  <w:style w:type="character" w:customStyle="1" w:styleId="Carpredefinitoparagrafo1">
    <w:name w:val="Car. predefinito paragrafo1"/>
  </w:style>
  <w:style w:type="character" w:styleId="Collegamentoipertestuale">
    <w:name w:val="Hyperlink"/>
    <w:rPr>
      <w:color w:val="000000"/>
    </w:rPr>
  </w:style>
  <w:style w:type="character" w:styleId="Collegamentovisitato">
    <w:name w:val="FollowedHyperlink"/>
    <w:rPr>
      <w:color w:val="800080"/>
      <w:u w:val="single"/>
    </w:rPr>
  </w:style>
  <w:style w:type="character" w:styleId="Numeropagina">
    <w:name w:val="page number"/>
    <w:basedOn w:val="Carpredefinitoparagrafo1"/>
  </w:style>
  <w:style w:type="paragraph" w:customStyle="1" w:styleId="Intestazione2">
    <w:name w:val="Intestazione2"/>
    <w:basedOn w:val="Normale"/>
    <w:next w:val="Corpodeltesto"/>
    <w:pPr>
      <w:keepNext/>
      <w:spacing w:before="240" w:after="120"/>
    </w:pPr>
    <w:rPr>
      <w:rFonts w:ascii="Arial" w:eastAsia="Microsoft YaHei" w:hAnsi="Arial"/>
      <w:sz w:val="28"/>
      <w:szCs w:val="28"/>
    </w:rPr>
  </w:style>
  <w:style w:type="paragraph" w:styleId="Corpodeltesto">
    <w:name w:val="Body Text"/>
    <w:basedOn w:val="Normale"/>
    <w:pPr>
      <w:spacing w:after="120"/>
    </w:pPr>
  </w:style>
  <w:style w:type="paragraph" w:styleId="Elenco">
    <w:name w:val="List"/>
    <w:basedOn w:val="Corpodeltesto"/>
  </w:style>
  <w:style w:type="paragraph" w:customStyle="1" w:styleId="Didascalia2">
    <w:name w:val="Didascalia2"/>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1">
    <w:name w:val="Intestazione1"/>
    <w:basedOn w:val="Normale"/>
    <w:next w:val="Corpodeltesto"/>
    <w:pPr>
      <w:keepNext/>
      <w:spacing w:before="240" w:after="120"/>
    </w:pPr>
    <w:rPr>
      <w:rFonts w:ascii="Arial" w:eastAsia="Microsoft YaHei" w:hAnsi="Arial"/>
      <w:sz w:val="28"/>
      <w:szCs w:val="28"/>
    </w:rPr>
  </w:style>
  <w:style w:type="paragraph" w:customStyle="1" w:styleId="Didascalia1">
    <w:name w:val="Didascalia1"/>
    <w:basedOn w:val="Normale"/>
    <w:pPr>
      <w:suppressLineNumbers/>
      <w:spacing w:before="120" w:after="120"/>
    </w:pPr>
    <w:rPr>
      <w:i/>
      <w:iCs/>
    </w:rPr>
  </w:style>
  <w:style w:type="paragraph" w:styleId="NormaleWeb">
    <w:name w:val="Normal (Web)"/>
    <w:basedOn w:val="Normale"/>
    <w:pPr>
      <w:spacing w:before="280" w:after="280"/>
    </w:p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styleId="Intestazione">
    <w:name w:val="header"/>
    <w:basedOn w:val="Normale"/>
    <w:pPr>
      <w:suppressLineNumbers/>
      <w:tabs>
        <w:tab w:val="center" w:pos="4819"/>
        <w:tab w:val="right" w:pos="9638"/>
      </w:tabs>
    </w:pPr>
  </w:style>
  <w:style w:type="paragraph" w:styleId="Testofumetto">
    <w:name w:val="Balloon Text"/>
    <w:basedOn w:val="Normale"/>
    <w:link w:val="TestofumettoCarattere"/>
    <w:uiPriority w:val="99"/>
    <w:semiHidden/>
    <w:unhideWhenUsed/>
    <w:rsid w:val="00D20FFC"/>
    <w:rPr>
      <w:rFonts w:ascii="Tahoma" w:hAnsi="Tahoma"/>
      <w:sz w:val="16"/>
      <w:szCs w:val="14"/>
    </w:rPr>
  </w:style>
  <w:style w:type="character" w:customStyle="1" w:styleId="TestofumettoCarattere">
    <w:name w:val="Testo fumetto Carattere"/>
    <w:basedOn w:val="Carpredefinitoparagrafo"/>
    <w:link w:val="Testofumetto"/>
    <w:uiPriority w:val="99"/>
    <w:semiHidden/>
    <w:rsid w:val="00D20FFC"/>
    <w:rPr>
      <w:rFonts w:ascii="Tahoma" w:eastAsia="SimSu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eocrespi.gov.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28809-D1C1-43B9-A55E-0A8D87C4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2145</Words>
  <Characters>12232</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14349</CharactersWithSpaces>
  <SharedDoc>false</SharedDoc>
  <HLinks>
    <vt:vector size="6" baseType="variant">
      <vt:variant>
        <vt:i4>7602225</vt:i4>
      </vt:variant>
      <vt:variant>
        <vt:i4>3</vt:i4>
      </vt:variant>
      <vt:variant>
        <vt:i4>0</vt:i4>
      </vt:variant>
      <vt:variant>
        <vt:i4>5</vt:i4>
      </vt:variant>
      <vt:variant>
        <vt:lpwstr>http://www.liceocrespi.gov.it/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RCDXWFVFF2B3J4C3QYG2YDRMW</dc:creator>
  <cp:keywords/>
  <cp:lastModifiedBy>RCDXWFVFF2B3J4C3QYG2YDRMW</cp:lastModifiedBy>
  <cp:revision>5</cp:revision>
  <cp:lastPrinted>1601-01-01T00:00:00Z</cp:lastPrinted>
  <dcterms:created xsi:type="dcterms:W3CDTF">2016-04-29T08:04:00Z</dcterms:created>
  <dcterms:modified xsi:type="dcterms:W3CDTF">2016-04-29T08:50:00Z</dcterms:modified>
</cp:coreProperties>
</file>